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C01F6" w14:textId="77777777" w:rsidR="006D6CD3" w:rsidRPr="00397F42" w:rsidRDefault="000B6D8D" w:rsidP="00397F42">
      <w:pPr>
        <w:pStyle w:val="Domynie"/>
        <w:spacing w:after="0" w:line="276" w:lineRule="auto"/>
        <w:jc w:val="center"/>
        <w:rPr>
          <w:b/>
        </w:rPr>
      </w:pPr>
      <w:r w:rsidRPr="00397F42">
        <w:rPr>
          <w:b/>
        </w:rPr>
        <w:t>Informacja</w:t>
      </w:r>
    </w:p>
    <w:p w14:paraId="6DD44728" w14:textId="77777777" w:rsidR="000B6D8D" w:rsidRPr="00397F42" w:rsidRDefault="000B6D8D" w:rsidP="00397F42">
      <w:pPr>
        <w:pStyle w:val="Domynie"/>
        <w:spacing w:after="0" w:line="276" w:lineRule="auto"/>
        <w:jc w:val="center"/>
        <w:rPr>
          <w:b/>
        </w:rPr>
      </w:pPr>
      <w:r w:rsidRPr="00397F42">
        <w:rPr>
          <w:b/>
        </w:rPr>
        <w:t xml:space="preserve">w sprawie ustawy z dnia </w:t>
      </w:r>
      <w:r w:rsidR="0049380A" w:rsidRPr="00397F42">
        <w:rPr>
          <w:b/>
        </w:rPr>
        <w:t xml:space="preserve">28 października </w:t>
      </w:r>
      <w:r w:rsidRPr="00397F42">
        <w:rPr>
          <w:b/>
        </w:rPr>
        <w:t>20</w:t>
      </w:r>
      <w:r w:rsidR="0002256F" w:rsidRPr="00397F42">
        <w:rPr>
          <w:b/>
        </w:rPr>
        <w:t>20</w:t>
      </w:r>
      <w:r w:rsidRPr="00397F42">
        <w:rPr>
          <w:b/>
        </w:rPr>
        <w:t xml:space="preserve"> r. </w:t>
      </w:r>
      <w:r w:rsidR="0049380A" w:rsidRPr="00397F42">
        <w:rPr>
          <w:b/>
        </w:rPr>
        <w:t>o zmianie ustawy o wspieraniu termomodernizacji i remontów oraz niektórych innych ustaw</w:t>
      </w:r>
    </w:p>
    <w:p w14:paraId="03BAAF10" w14:textId="77777777" w:rsidR="00584A16" w:rsidRDefault="00584A16" w:rsidP="00397F42">
      <w:pPr>
        <w:pStyle w:val="Domynie"/>
        <w:spacing w:after="0" w:line="276" w:lineRule="auto"/>
        <w:jc w:val="center"/>
      </w:pPr>
    </w:p>
    <w:p w14:paraId="2BDAB116" w14:textId="77777777" w:rsidR="00503BEB" w:rsidRDefault="00503BEB" w:rsidP="00584A16">
      <w:pPr>
        <w:pStyle w:val="Domynie"/>
        <w:spacing w:after="0" w:line="276" w:lineRule="auto"/>
      </w:pPr>
    </w:p>
    <w:p w14:paraId="7FC85C46" w14:textId="77777777" w:rsidR="004972DA" w:rsidRDefault="0054485F" w:rsidP="00397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 ma na celu </w:t>
      </w:r>
      <w:r w:rsidRPr="007F6F5E">
        <w:rPr>
          <w:rFonts w:ascii="Times New Roman" w:hAnsi="Times New Roman"/>
          <w:sz w:val="24"/>
          <w:szCs w:val="24"/>
        </w:rPr>
        <w:t>udoskonalenie funkcjonującego od lutego 2019 r. pilotażowego instrumentu na rzecz termomodernizacji (w tym wymiany nieekologicznych źródeł ciepła) budynków jednorodzinnych osób ubogich energetycznie -  „Program Stop Smog”.</w:t>
      </w:r>
      <w:r w:rsidRPr="007F6F5E">
        <w:rPr>
          <w:rFonts w:ascii="Times New Roman" w:hAnsi="Times New Roman"/>
          <w:sz w:val="24"/>
          <w:szCs w:val="24"/>
        </w:rPr>
        <w:br/>
        <w:t>Ustawa zmierza ponadto do usprawnienia działania rządowego programu priorytetowego „Czyste Powietrze”.</w:t>
      </w:r>
      <w:r w:rsidR="00584A16">
        <w:rPr>
          <w:rFonts w:ascii="Times New Roman" w:hAnsi="Times New Roman"/>
          <w:sz w:val="24"/>
          <w:szCs w:val="24"/>
        </w:rPr>
        <w:t xml:space="preserve"> </w:t>
      </w:r>
    </w:p>
    <w:p w14:paraId="4488EDFA" w14:textId="77777777" w:rsidR="004972DA" w:rsidRDefault="004972DA" w:rsidP="00397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41E7619" w14:textId="77777777" w:rsidR="0054485F" w:rsidRDefault="00584A16" w:rsidP="00397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4485F" w:rsidRPr="007F6F5E">
        <w:rPr>
          <w:rFonts w:ascii="Times New Roman" w:hAnsi="Times New Roman"/>
          <w:sz w:val="24"/>
          <w:szCs w:val="24"/>
        </w:rPr>
        <w:t xml:space="preserve">stawa przewiduje </w:t>
      </w:r>
      <w:r w:rsidR="0054485F">
        <w:rPr>
          <w:rFonts w:ascii="Times New Roman" w:hAnsi="Times New Roman"/>
          <w:sz w:val="24"/>
          <w:szCs w:val="24"/>
        </w:rPr>
        <w:t xml:space="preserve">m.in. </w:t>
      </w:r>
      <w:r w:rsidR="0054485F" w:rsidRPr="007F6F5E">
        <w:rPr>
          <w:rFonts w:ascii="Times New Roman" w:hAnsi="Times New Roman"/>
          <w:sz w:val="24"/>
          <w:szCs w:val="24"/>
        </w:rPr>
        <w:t xml:space="preserve">zmniejszenie minimalnej liczby budynków jednorodzinnych umożliwiającej aplikowanie do programu (z 2% do 1% lub 20 budynków) oraz jednorazowe zniesienie tego limitu, w sytuacji gdy wcześniej gmina zawarła </w:t>
      </w:r>
      <w:r w:rsidR="0054485F">
        <w:rPr>
          <w:rFonts w:ascii="Times New Roman" w:hAnsi="Times New Roman"/>
          <w:sz w:val="24"/>
          <w:szCs w:val="24"/>
        </w:rPr>
        <w:t>co najmniej jedno porozumienie.</w:t>
      </w:r>
      <w:r w:rsidR="004972DA">
        <w:rPr>
          <w:rFonts w:ascii="Times New Roman" w:hAnsi="Times New Roman"/>
          <w:sz w:val="24"/>
          <w:szCs w:val="24"/>
        </w:rPr>
        <w:t xml:space="preserve"> </w:t>
      </w:r>
      <w:r w:rsidR="0054485F">
        <w:rPr>
          <w:rFonts w:ascii="Times New Roman" w:hAnsi="Times New Roman"/>
          <w:sz w:val="24"/>
          <w:szCs w:val="24"/>
        </w:rPr>
        <w:t xml:space="preserve">Wprowadza </w:t>
      </w:r>
      <w:r>
        <w:rPr>
          <w:rFonts w:ascii="Times New Roman" w:hAnsi="Times New Roman"/>
          <w:sz w:val="24"/>
          <w:szCs w:val="24"/>
        </w:rPr>
        <w:t xml:space="preserve">również </w:t>
      </w:r>
      <w:r w:rsidR="0054485F" w:rsidRPr="007F6F5E">
        <w:rPr>
          <w:rFonts w:ascii="Times New Roman" w:hAnsi="Times New Roman"/>
          <w:sz w:val="24"/>
          <w:szCs w:val="24"/>
        </w:rPr>
        <w:t>zmniejszenie z 50% do 30% wymaganej redukcji zapotrzebowania na ciepło grzewcze, liczonej łącznie dla wszystkich przedsięwzięć niskoemisyjnych realizowanych przez gminę</w:t>
      </w:r>
      <w:r w:rsidR="0054485F">
        <w:rPr>
          <w:rFonts w:ascii="Times New Roman" w:hAnsi="Times New Roman"/>
          <w:sz w:val="24"/>
          <w:szCs w:val="24"/>
        </w:rPr>
        <w:t xml:space="preserve"> w ramach jednego porozumienia.</w:t>
      </w:r>
      <w:r>
        <w:rPr>
          <w:rFonts w:ascii="Times New Roman" w:hAnsi="Times New Roman"/>
          <w:sz w:val="24"/>
          <w:szCs w:val="24"/>
        </w:rPr>
        <w:t xml:space="preserve"> </w:t>
      </w:r>
      <w:r w:rsidR="0054485F">
        <w:rPr>
          <w:rFonts w:ascii="Times New Roman" w:hAnsi="Times New Roman"/>
          <w:sz w:val="24"/>
          <w:szCs w:val="24"/>
        </w:rPr>
        <w:t xml:space="preserve">Ustawa wydłuża z 3 lat do 4 lat okres </w:t>
      </w:r>
      <w:r w:rsidR="0054485F" w:rsidRPr="007F6F5E">
        <w:rPr>
          <w:rFonts w:ascii="Times New Roman" w:hAnsi="Times New Roman"/>
          <w:sz w:val="24"/>
          <w:szCs w:val="24"/>
        </w:rPr>
        <w:t>realizacji porozumienia – w przypadku realizacji przez gminę w danym porozumieniu więcej niż 2% bud</w:t>
      </w:r>
      <w:r w:rsidR="0054485F">
        <w:rPr>
          <w:rFonts w:ascii="Times New Roman" w:hAnsi="Times New Roman"/>
          <w:sz w:val="24"/>
          <w:szCs w:val="24"/>
        </w:rPr>
        <w:t>ynków jednorodzinnych w gminie.</w:t>
      </w:r>
      <w:r>
        <w:rPr>
          <w:rFonts w:ascii="Times New Roman" w:hAnsi="Times New Roman"/>
          <w:sz w:val="24"/>
          <w:szCs w:val="24"/>
        </w:rPr>
        <w:t xml:space="preserve"> </w:t>
      </w:r>
      <w:r w:rsidR="0054485F">
        <w:rPr>
          <w:rFonts w:ascii="Times New Roman" w:hAnsi="Times New Roman"/>
          <w:sz w:val="24"/>
          <w:szCs w:val="24"/>
        </w:rPr>
        <w:t xml:space="preserve">Ponadto skraca z 10 </w:t>
      </w:r>
      <w:r>
        <w:rPr>
          <w:rFonts w:ascii="Times New Roman" w:hAnsi="Times New Roman"/>
          <w:sz w:val="24"/>
          <w:szCs w:val="24"/>
        </w:rPr>
        <w:t xml:space="preserve">lat </w:t>
      </w:r>
      <w:r w:rsidR="0054485F">
        <w:rPr>
          <w:rFonts w:ascii="Times New Roman" w:hAnsi="Times New Roman"/>
          <w:sz w:val="24"/>
          <w:szCs w:val="24"/>
        </w:rPr>
        <w:t xml:space="preserve">do 5 lat okres </w:t>
      </w:r>
      <w:r w:rsidR="0054485F" w:rsidRPr="007F6F5E">
        <w:rPr>
          <w:rFonts w:ascii="Times New Roman" w:hAnsi="Times New Roman"/>
          <w:sz w:val="24"/>
          <w:szCs w:val="24"/>
        </w:rPr>
        <w:t>po zakończeniu porozumienia dla zobowiązań dotyczących obowiązku beneficjenta w zakresie: zwrotu odpowiedniej części wartości przedsięwzięcia w przypadku sprzedaży budynku, przestrzegania warunków umowy, przechowywania treści porozumienia przez gminę i właściwego ministra oraz utrzymywania przez gminę efektów</w:t>
      </w:r>
      <w:r w:rsidR="0054485F">
        <w:rPr>
          <w:rFonts w:ascii="Times New Roman" w:hAnsi="Times New Roman"/>
          <w:sz w:val="24"/>
          <w:szCs w:val="24"/>
        </w:rPr>
        <w:t xml:space="preserve"> przedsięwzięć niskoemisyjnych.</w:t>
      </w:r>
    </w:p>
    <w:p w14:paraId="2FA57499" w14:textId="77777777" w:rsidR="004972DA" w:rsidRPr="007F6F5E" w:rsidRDefault="004972DA" w:rsidP="00397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76F16A" w14:textId="77777777" w:rsidR="0054485F" w:rsidRPr="007F6F5E" w:rsidRDefault="0054485F" w:rsidP="00397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F6F5E">
        <w:rPr>
          <w:rFonts w:ascii="Times New Roman" w:hAnsi="Times New Roman"/>
          <w:sz w:val="24"/>
          <w:szCs w:val="24"/>
        </w:rPr>
        <w:t xml:space="preserve">stawa wprowadza instrumenty prawne umożliwiające podjęcie działań w zakresie zdiagnozowania źródeł niskiej emisji, przewidujące rozpoczęcie gromadzenia jednolitych i spójnych danych w skali całego kraju dotyczących budynków i pochodzących z nich źródeł emisji, które stanowią kluczowy element do planowania działań naprawczych. </w:t>
      </w:r>
    </w:p>
    <w:p w14:paraId="6318558F" w14:textId="77777777" w:rsidR="006E6BAC" w:rsidRDefault="0054485F" w:rsidP="00397F42">
      <w:pPr>
        <w:pStyle w:val="NormalnyWeb"/>
        <w:spacing w:before="0" w:after="0" w:line="276" w:lineRule="auto"/>
      </w:pPr>
      <w:r>
        <w:t xml:space="preserve">Na mocy ustawy powstanie </w:t>
      </w:r>
      <w:r w:rsidR="006E6BAC">
        <w:t>C</w:t>
      </w:r>
      <w:r w:rsidR="00503BEB">
        <w:t>entralna Ewidencja Emisyjności B</w:t>
      </w:r>
      <w:r w:rsidR="006E6BAC">
        <w:t>udynków (CEEB) w celu gromadzenia jednolitych, ustandaryzowanych i spójnych danych dotyczących budynków i lokali oraz eksploatowanych w nich:</w:t>
      </w:r>
    </w:p>
    <w:p w14:paraId="37973813" w14:textId="77777777" w:rsidR="006E6BAC" w:rsidRDefault="00503BEB" w:rsidP="00397F42">
      <w:pPr>
        <w:pStyle w:val="NormalnyWeb"/>
        <w:spacing w:before="0" w:after="0" w:line="276" w:lineRule="auto"/>
      </w:pPr>
      <w:r>
        <w:t>1)</w:t>
      </w:r>
      <w:r w:rsidR="006E6BAC">
        <w:t xml:space="preserve"> źródeł ciepła, w tym zasilania z sieci ciepłowniczej,</w:t>
      </w:r>
    </w:p>
    <w:p w14:paraId="3F4F04AC" w14:textId="77777777" w:rsidR="006E6BAC" w:rsidRDefault="00503BEB" w:rsidP="00397F42">
      <w:pPr>
        <w:pStyle w:val="NormalnyWeb"/>
        <w:spacing w:before="0" w:after="0" w:line="276" w:lineRule="auto"/>
      </w:pPr>
      <w:r>
        <w:t>2)</w:t>
      </w:r>
      <w:r w:rsidR="006E6BAC">
        <w:t xml:space="preserve"> źródeł energii elektrycznej,</w:t>
      </w:r>
    </w:p>
    <w:p w14:paraId="5573172B" w14:textId="77777777" w:rsidR="004972DA" w:rsidRDefault="00503BEB" w:rsidP="00397F42">
      <w:pPr>
        <w:pStyle w:val="NormalnyWeb"/>
        <w:spacing w:before="0" w:after="0" w:line="276" w:lineRule="auto"/>
      </w:pPr>
      <w:r>
        <w:t>3)</w:t>
      </w:r>
      <w:r w:rsidR="006E6BAC">
        <w:t xml:space="preserve"> </w:t>
      </w:r>
      <w:r w:rsidR="004972DA" w:rsidRPr="004972DA">
        <w:t xml:space="preserve">spalania paliw, w rozumieniu art. 157a ust. 1 pkt 7 ustawy – Prawo ochrony środowiska, o nominalnej mocy cieplnej mniejszej niż 1 MW. </w:t>
      </w:r>
    </w:p>
    <w:p w14:paraId="3B4CC0E9" w14:textId="77777777" w:rsidR="004972DA" w:rsidRDefault="004972DA" w:rsidP="00397F42">
      <w:pPr>
        <w:pStyle w:val="NormalnyWeb"/>
        <w:spacing w:before="0" w:after="0" w:line="276" w:lineRule="auto"/>
      </w:pPr>
    </w:p>
    <w:p w14:paraId="0A9180E4" w14:textId="77777777" w:rsidR="0054485F" w:rsidRDefault="0054485F" w:rsidP="00397F42">
      <w:pPr>
        <w:pStyle w:val="NormalnyWeb"/>
        <w:spacing w:before="0" w:after="0" w:line="276" w:lineRule="auto"/>
      </w:pPr>
      <w:r>
        <w:t xml:space="preserve">Ustawa zakłada powstanie </w:t>
      </w:r>
      <w:r w:rsidRPr="0054485F">
        <w:t>Funduszu Ekologicznego Poręczeń i Gwarancji, z którego będą udzielane gwarancje lub poręczenia spłaty kredytów i p</w:t>
      </w:r>
      <w:r>
        <w:t>ożyczek na projekty ekologiczne</w:t>
      </w:r>
      <w:r w:rsidR="00503BEB">
        <w:t>.</w:t>
      </w:r>
    </w:p>
    <w:p w14:paraId="0B0A60EE" w14:textId="77777777" w:rsidR="004972DA" w:rsidRDefault="004972DA" w:rsidP="00397F42">
      <w:pPr>
        <w:pStyle w:val="NormalnyWeb"/>
        <w:spacing w:before="0" w:after="0" w:line="276" w:lineRule="auto"/>
      </w:pPr>
    </w:p>
    <w:p w14:paraId="2835437C" w14:textId="77777777" w:rsidR="00036217" w:rsidRPr="007F6F5E" w:rsidRDefault="00036217" w:rsidP="00397F4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6F5E">
        <w:rPr>
          <w:rFonts w:ascii="Times New Roman" w:hAnsi="Times New Roman"/>
          <w:sz w:val="24"/>
          <w:szCs w:val="24"/>
        </w:rPr>
        <w:t xml:space="preserve">Ustawa wchodzi w życie po upływie 30 dni od dnia ogłoszenia, z wyjątkiem przepisów odnoszących się do utworzenia i funkcjonowania CEEB, których wejście w życie następować będzie z dniem wdrożenia stosownych rozwiązań technicznych umożliwiających prowadzenie tej ewidencji, określonych w komunikacie ogłoszonym przez ministra właściwego do spraw </w:t>
      </w:r>
      <w:r w:rsidRPr="007F6F5E">
        <w:rPr>
          <w:rFonts w:ascii="Times New Roman" w:hAnsi="Times New Roman"/>
          <w:sz w:val="24"/>
          <w:szCs w:val="24"/>
        </w:rPr>
        <w:lastRenderedPageBreak/>
        <w:t xml:space="preserve">budownictwa, planowania i zagospodarowania przestrzennego oraz mieszkalnictwa w Dzienniku Ustaw Rzeczypospolitej Polskiej oraz na stronie podmiotowej Biuletynu Informacji Publicznej urzędu obsługującego tego </w:t>
      </w:r>
      <w:r w:rsidR="00503BEB">
        <w:rPr>
          <w:rFonts w:ascii="Times New Roman" w:hAnsi="Times New Roman"/>
          <w:sz w:val="24"/>
          <w:szCs w:val="24"/>
        </w:rPr>
        <w:t>ministra.</w:t>
      </w:r>
    </w:p>
    <w:p w14:paraId="1E6AA84B" w14:textId="77777777" w:rsidR="00036217" w:rsidRPr="0054485F" w:rsidRDefault="00036217" w:rsidP="00397F42">
      <w:pPr>
        <w:pStyle w:val="NormalnyWeb"/>
        <w:spacing w:before="0" w:after="0" w:line="276" w:lineRule="auto"/>
      </w:pPr>
    </w:p>
    <w:sectPr w:rsidR="00036217" w:rsidRPr="00544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884C7" w14:textId="77777777" w:rsidR="001B27D7" w:rsidRDefault="001B27D7" w:rsidP="00154DD1">
      <w:pPr>
        <w:spacing w:after="0" w:line="240" w:lineRule="auto"/>
      </w:pPr>
      <w:r>
        <w:separator/>
      </w:r>
    </w:p>
  </w:endnote>
  <w:endnote w:type="continuationSeparator" w:id="0">
    <w:p w14:paraId="59CDAEC0" w14:textId="77777777" w:rsidR="001B27D7" w:rsidRDefault="001B27D7" w:rsidP="0015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6FD96" w14:textId="77777777" w:rsidR="00154DD1" w:rsidRDefault="00154D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5C4E2" w14:textId="77777777" w:rsidR="00154DD1" w:rsidRDefault="00154D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D2868" w14:textId="77777777" w:rsidR="00154DD1" w:rsidRDefault="0015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489A1" w14:textId="77777777" w:rsidR="001B27D7" w:rsidRDefault="001B27D7" w:rsidP="00154DD1">
      <w:pPr>
        <w:spacing w:after="0" w:line="240" w:lineRule="auto"/>
      </w:pPr>
      <w:r>
        <w:separator/>
      </w:r>
    </w:p>
  </w:footnote>
  <w:footnote w:type="continuationSeparator" w:id="0">
    <w:p w14:paraId="2524D79B" w14:textId="77777777" w:rsidR="001B27D7" w:rsidRDefault="001B27D7" w:rsidP="0015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26E0" w14:textId="77777777" w:rsidR="00154DD1" w:rsidRDefault="00154D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D8465" w14:textId="77777777" w:rsidR="00154DD1" w:rsidRDefault="00154D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B7D15" w14:textId="77777777" w:rsidR="00154DD1" w:rsidRDefault="00154D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F1"/>
    <w:rsid w:val="0002256F"/>
    <w:rsid w:val="00036217"/>
    <w:rsid w:val="000B6D8D"/>
    <w:rsid w:val="00154DD1"/>
    <w:rsid w:val="001B27D7"/>
    <w:rsid w:val="00397F42"/>
    <w:rsid w:val="0049380A"/>
    <w:rsid w:val="004972DA"/>
    <w:rsid w:val="00503BEB"/>
    <w:rsid w:val="0054485F"/>
    <w:rsid w:val="00584A16"/>
    <w:rsid w:val="00615FF1"/>
    <w:rsid w:val="006D6CD3"/>
    <w:rsid w:val="006E6BAC"/>
    <w:rsid w:val="007F6F5E"/>
    <w:rsid w:val="00A51A49"/>
    <w:rsid w:val="00D46E42"/>
    <w:rsid w:val="00DF5BB5"/>
    <w:rsid w:val="00F972AD"/>
    <w:rsid w:val="00F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81DF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N w:val="0"/>
      <w:adjustRightInd w:val="0"/>
      <w:spacing w:after="200" w:line="360" w:lineRule="auto"/>
      <w:jc w:val="both"/>
    </w:pPr>
    <w:rPr>
      <w:rFonts w:ascii="Times New Roman" w:hAnsi="Times New Roman"/>
      <w:sz w:val="24"/>
      <w:szCs w:val="24"/>
      <w:lang w:eastAsia="en-US" w:bidi="hi-IN"/>
    </w:rPr>
  </w:style>
  <w:style w:type="character" w:customStyle="1" w:styleId="BodyTextChar">
    <w:name w:val="Body Text Char"/>
    <w:basedOn w:val="Domylnaczcionkaakapitu"/>
    <w:uiPriority w:val="99"/>
    <w:rPr>
      <w:rFonts w:cs="Times New Roman"/>
      <w:color w:val="000000"/>
      <w:spacing w:val="-5"/>
    </w:rPr>
  </w:style>
  <w:style w:type="character" w:customStyle="1" w:styleId="luchili">
    <w:name w:val="luc_hili"/>
    <w:basedOn w:val="Domylnaczcionkaakapitu"/>
    <w:uiPriority w:val="99"/>
    <w:rPr>
      <w:rFonts w:eastAsia="Times New Roman" w:cs="Times New Roman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Microsoft YaHei" w:hAnsi="Mangal" w:cs="Arial"/>
      <w:sz w:val="28"/>
      <w:szCs w:val="28"/>
      <w:lang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  <w:rPr>
      <w:rFonts w:eastAsia="Times New Roman" w:hAnsi="Mangal"/>
    </w:rPr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rFonts w:eastAsia="Times New Roman" w:hAnsi="Mangal"/>
      <w:i/>
      <w:iCs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rFonts w:eastAsia="Times New Roman" w:hAnsi="Mangal"/>
      <w:lang w:bidi="ar-SA"/>
    </w:rPr>
  </w:style>
  <w:style w:type="paragraph" w:customStyle="1" w:styleId="Tretekstu">
    <w:name w:val="Tre?? tekstu"/>
    <w:basedOn w:val="Domynie"/>
    <w:uiPriority w:val="99"/>
    <w:pPr>
      <w:autoSpaceDE w:val="0"/>
      <w:spacing w:after="0" w:line="274" w:lineRule="exact"/>
      <w:ind w:right="22"/>
    </w:pPr>
    <w:rPr>
      <w:color w:val="000000"/>
      <w:spacing w:val="-5"/>
      <w:lang w:eastAsia="pl-PL" w:bidi="ar-SA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  <w:style w:type="paragraph" w:styleId="NormalnyWeb">
    <w:name w:val="Normal (Web)"/>
    <w:basedOn w:val="Domynie"/>
    <w:uiPriority w:val="99"/>
    <w:pPr>
      <w:spacing w:before="280" w:after="280"/>
    </w:pPr>
    <w:rPr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154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54DD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54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4D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2020-11-17T09:30:00Z</dcterms:created>
  <dcterms:modified xsi:type="dcterms:W3CDTF">2020-11-17T09:30:00Z</dcterms:modified>
</cp:coreProperties>
</file>