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50E" w:rsidRDefault="00CB550E" w:rsidP="00CB550E"/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>Na tarczę antykryzysową składa się pięć filarów:</w:t>
      </w:r>
    </w:p>
    <w:p w:rsidR="00CB550E" w:rsidRPr="00CB550E" w:rsidRDefault="00CB550E" w:rsidP="00CB550E">
      <w:pPr>
        <w:rPr>
          <w:b/>
          <w:bCs/>
        </w:rPr>
      </w:pPr>
    </w:p>
    <w:p w:rsidR="00CB550E" w:rsidRDefault="00CB550E" w:rsidP="00CB550E">
      <w:r>
        <w:t xml:space="preserve">    Bezpieczeństwo Pracowników – o wartości 30 mld zł;</w:t>
      </w:r>
    </w:p>
    <w:p w:rsidR="00CB550E" w:rsidRDefault="00CB550E" w:rsidP="00CB550E">
      <w:r>
        <w:t xml:space="preserve">    Finansowanie Przedsiębiorstw – 74,2 mld zł;</w:t>
      </w:r>
    </w:p>
    <w:p w:rsidR="00CB550E" w:rsidRDefault="00CB550E" w:rsidP="00CB550E">
      <w:r>
        <w:t xml:space="preserve">    Ochrona Zdrowia – 7,5 mld zł;</w:t>
      </w:r>
    </w:p>
    <w:p w:rsidR="00CB550E" w:rsidRDefault="00CB550E" w:rsidP="00CB550E">
      <w:r>
        <w:t xml:space="preserve">    Wzmocnienie Systemu Finansowego – 70,3 mld zł;</w:t>
      </w:r>
    </w:p>
    <w:p w:rsidR="00CB550E" w:rsidRDefault="00CB550E" w:rsidP="00CB550E">
      <w:r>
        <w:t xml:space="preserve">    Program Inwestycji Publicznych – 30 mld zł.</w:t>
      </w:r>
    </w:p>
    <w:p w:rsidR="00CB550E" w:rsidRDefault="00CB550E" w:rsidP="00CB550E"/>
    <w:p w:rsidR="00CB550E" w:rsidRDefault="00CB550E" w:rsidP="00CB550E"/>
    <w:p w:rsidR="00CB550E" w:rsidRDefault="00CB550E" w:rsidP="00CB550E">
      <w:r>
        <w:t>Kluczowe rozwiązania Tarczy Antykryzysowej</w:t>
      </w:r>
    </w:p>
    <w:p w:rsidR="00CB550E" w:rsidRDefault="00CB550E" w:rsidP="00CB550E"/>
    <w:p w:rsidR="00CB550E" w:rsidRDefault="00CB550E" w:rsidP="00CB550E">
      <w:pPr>
        <w:pStyle w:val="Akapitzlist"/>
        <w:numPr>
          <w:ilvl w:val="0"/>
          <w:numId w:val="1"/>
        </w:numPr>
      </w:pPr>
      <w:r>
        <w:t xml:space="preserve">500 000 </w:t>
      </w:r>
      <w:proofErr w:type="spellStart"/>
      <w:r>
        <w:t>mikrofirm</w:t>
      </w:r>
      <w:proofErr w:type="spellEnd"/>
      <w:r>
        <w:t>, które zatrudniają do 9 pracowników, będzie mogło skorzystać z pożyczek w wysokości 5 tys. zł.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Możliwość uzyskania przez firmy średnie i duże z funduszu PFR Inwestycje podwyższenia kapitału lub finansowania w postaci obligacji - łącznie o wartości 6 mld zł.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Dopłaty BGK do odsetek kredytów – z Funduszu Dopłat do odsetek od kredytów w kwocie 500 mln zł dla sektora przedsiębiorstw 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Firmy transportowe dostaną wsparcie ARP na refinansowanie umów leasingowych.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Państwo dołoży się do pensji pracowników firm w postoju. Firmom w postoju państwo pokryje blisko połowę wynagrodzeń i składki ZUS.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Rodzicom, którzy opiekują się dziećmi do 8. roku życia, wydłużymy prawo do zasiłku opiekuńczego.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Zatrudnieni na umowach cywilno-prawnych będą mogli skorzystać ze świadczenia miesięcznego w kwocie około 2 tys. zł. brutto.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Firmy w kłopotach otrzymają wsparcie w utrzymaniu pracowników - państwo sfinansuje 40% ich płacy.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Możliwość odstąpienia od kar umownych za opóźnienia w realizacji zamówienia publicznego związanych z epidemią.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 xml:space="preserve">100 tys. MŚP dostanie możliwość uzyskania kredytu z gwarancją de </w:t>
      </w:r>
      <w:proofErr w:type="spellStart"/>
      <w:r>
        <w:t>minimis</w:t>
      </w:r>
      <w:proofErr w:type="spellEnd"/>
      <w:r>
        <w:t xml:space="preserve"> do wysokości 3,5 mln zł.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Średnie i duże firmy dostaną wsparcie z funduszu PFR Inwestycje na podwyższenie kapitału lub finansowanie w postaci obligacji. Łączna wartość wsparcia to 6 mld zł.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Przedsiębiorstwa dostaną pomoc z BGK w postaci dopłat do odsetek do kredytu.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Możliwość odroczenia składek na ZUS – bez opłat i odsetek.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Prolongata terminu przekazania zaliczek na PIT od przychodów z szeroko rozumianej pracy pobranych w marcu i kwietniu do końca maja.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Ubezpieczenia obrotu handlowego KUKE.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Rozliczenie całej tegorocznej straty w przyszłym roku.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Przesunięcie wejścia w życie nowego JPK – od 1 lipca 2020 r.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Przesunięcie płatności za media.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lastRenderedPageBreak/>
        <w:t>Ochrona konsumentów.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Wydłużenie ważności okresowych badań lekarskich.</w:t>
      </w:r>
    </w:p>
    <w:p w:rsidR="00CB550E" w:rsidRDefault="00CB550E" w:rsidP="00CB550E">
      <w:pPr>
        <w:pStyle w:val="Akapitzlist"/>
        <w:numPr>
          <w:ilvl w:val="0"/>
          <w:numId w:val="1"/>
        </w:numPr>
      </w:pPr>
      <w:r>
        <w:t>Wydłużenie wiz pobytowych i zezwoleń na pobyt czasowy cudzoziemców.</w:t>
      </w:r>
    </w:p>
    <w:p w:rsidR="00CB550E" w:rsidRDefault="00CB550E" w:rsidP="00CB550E"/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>Jak to będzie wyglądało w praktyce? Z czego będą mogli skorzystać przedsiębiorcy?</w:t>
      </w:r>
    </w:p>
    <w:p w:rsidR="00CB550E" w:rsidRDefault="00CB550E" w:rsidP="00CB550E"/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>Mała firma, np. restauracja:</w:t>
      </w:r>
    </w:p>
    <w:p w:rsidR="00CB550E" w:rsidRDefault="00CB550E" w:rsidP="00CB550E"/>
    <w:p w:rsidR="00CB550E" w:rsidRDefault="00CB550E" w:rsidP="00CB550E">
      <w:pPr>
        <w:pStyle w:val="Akapitzlist"/>
        <w:numPr>
          <w:ilvl w:val="0"/>
          <w:numId w:val="3"/>
        </w:numPr>
      </w:pPr>
      <w:r>
        <w:t xml:space="preserve">Pożyczka 5 000 zł dla </w:t>
      </w:r>
      <w:proofErr w:type="spellStart"/>
      <w:r>
        <w:t>mikrofirm</w:t>
      </w:r>
      <w:proofErr w:type="spellEnd"/>
      <w:r>
        <w:t xml:space="preserve"> ( z możliwością umorzenia)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Możliwość odroczenia lub rozłożenie na raty składek ZUS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Możliwość odroczenia płatności podatków PIT, CIT, VAT bez dodatkowych opłat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Przedłużenie bankowych kredytów obrotowych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Możliwość świadczenia usług na dowóz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Dofinansowanie przez państwo 40% płacy pracownika przy spadku obrotów firmy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Wakacje kredytowe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Ochrona konsumentów w zakresie nadmiernego wzrostu cen i innych nieuczciwych praktyk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Przesunięcie płatności za media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Prolongata ważności udzielonych pozwoleń na pracę dla obcokrajowców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Możliwość odroczenia składek na ZUS – bez opłat i odsetek</w:t>
      </w:r>
    </w:p>
    <w:p w:rsidR="00CB550E" w:rsidRDefault="00CB550E" w:rsidP="00CB550E">
      <w:pPr>
        <w:pStyle w:val="Akapitzlist"/>
        <w:numPr>
          <w:ilvl w:val="0"/>
          <w:numId w:val="3"/>
        </w:numPr>
      </w:pPr>
      <w:r>
        <w:t>Prolongata terminu przekazania zaliczek na PIT od przychodów z szeroko rozumianej pracy pobranych w marcu i kwietniu do końca maja</w:t>
      </w:r>
    </w:p>
    <w:p w:rsidR="00CB550E" w:rsidRDefault="00CB550E" w:rsidP="00CB550E"/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>Średnia firma, np. palarnia kawy:</w:t>
      </w:r>
    </w:p>
    <w:p w:rsidR="00CB550E" w:rsidRDefault="00CB550E" w:rsidP="00CB550E"/>
    <w:p w:rsidR="00CB550E" w:rsidRDefault="00CB550E" w:rsidP="00CB550E">
      <w:pPr>
        <w:pStyle w:val="Akapitzlist"/>
        <w:numPr>
          <w:ilvl w:val="0"/>
          <w:numId w:val="4"/>
        </w:numPr>
      </w:pPr>
      <w:r>
        <w:t>Współfinansowanie przez państwo postojowego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 xml:space="preserve">Rozszerzenie programu gwarancji de </w:t>
      </w:r>
      <w:proofErr w:type="spellStart"/>
      <w:r>
        <w:t>minimis</w:t>
      </w:r>
      <w:proofErr w:type="spellEnd"/>
      <w:r>
        <w:t xml:space="preserve"> BGK dla MŚP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Możliwość uzyskania przez firmy średnie i duże z funduszu PFR Inwestycje podwyższenia kapitału lub finansowania w postaci obligacji - łącznie o wartości 6 mld zł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Ubezpieczenia obrotu handlowego KUKE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Dofinansowanie przez państwo 40% płacy pracownika przy spadku obrotów firmy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Ochrona konsumentów w zakresie nadmiernego wzrostu cen i innych nieuczciwych praktyk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Przesunięcie płatności za media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Prolongata ważności udzielonych pozwoleń na pracę dla obcokrajowców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Możliwość odroczenia składek na ZUS – bez opłat i odsetek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Prolongata terminu przekazania zaliczek na PIT od przychodów z szeroko rozumianej pracy pobranych w marcu i kwietniu do końca maja</w:t>
      </w:r>
    </w:p>
    <w:p w:rsidR="00CB550E" w:rsidRDefault="00CB550E" w:rsidP="00CB550E"/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>Firma transportowa:</w:t>
      </w:r>
    </w:p>
    <w:p w:rsidR="00CB550E" w:rsidRDefault="00CB550E" w:rsidP="00CB550E"/>
    <w:p w:rsidR="00CB550E" w:rsidRDefault="00CB550E" w:rsidP="00CB550E">
      <w:pPr>
        <w:pStyle w:val="Akapitzlist"/>
        <w:numPr>
          <w:ilvl w:val="0"/>
          <w:numId w:val="4"/>
        </w:numPr>
      </w:pPr>
      <w:r>
        <w:lastRenderedPageBreak/>
        <w:t>Firma w problemach finansowych będzie miała możliwość refinansowania obecnych umów leasingowych wraz z wakacjami kredytowymi, polegającymi na odsunięciu czasowym płatności rat leasingowych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Rozliczenie całej tegorocznej straty w przyszłym roku - branże szczególnie dotknięte kryzysem makroekonomicznym (np. transport, turystyka), w sytuacji spadku przychodów firmy o 50% w 2020 r. - w stosunku do 2019 r. - zyskają prawo obniżenia dochodu do opodatkowania o wysokość straty w 2020 r. poprzez korektę CIT za 2019 r. do limitu 5 mln zł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Ochrona konsumentów w zakresie nadmiernego wzrostu cen i innych nieuczciwych praktyk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Przesunięcie płatności za media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Wyłączenie okresu oczekiwania na granicy z czasu pracy kierowców samochodów ciężarowych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Wakacje kredytowe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Wakacje od obowiązków administracyjnych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Dofinansowanie zatrudnienia przez państwo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Finansowanie postojowego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Czasowe przywrócenie zaopatrzenia sklepów i handlu w niedzielę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Prolongata ważności udzielonych pozwoleń na pracę dla obcokrajowców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Możliwość odroczenia składek na ZUS – bez opłat i odsetek</w:t>
      </w:r>
    </w:p>
    <w:p w:rsidR="00CB550E" w:rsidRDefault="00CB550E" w:rsidP="00CB550E">
      <w:pPr>
        <w:pStyle w:val="Akapitzlist"/>
        <w:numPr>
          <w:ilvl w:val="0"/>
          <w:numId w:val="4"/>
        </w:numPr>
      </w:pPr>
      <w:r>
        <w:t>Prolongata terminu przekazania zaliczek na PIT od przychodów z szeroko rozumianej pracy pobranych w marcu i kwietniu do końca maja</w:t>
      </w:r>
    </w:p>
    <w:p w:rsidR="00CB550E" w:rsidRDefault="00CB550E" w:rsidP="00CB550E"/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>Firma turystyczna:</w:t>
      </w:r>
    </w:p>
    <w:p w:rsidR="00CB550E" w:rsidRDefault="00CB550E" w:rsidP="00CB550E"/>
    <w:p w:rsidR="00CB550E" w:rsidRDefault="00CB550E" w:rsidP="00CB550E">
      <w:pPr>
        <w:pStyle w:val="Akapitzlist"/>
        <w:numPr>
          <w:ilvl w:val="0"/>
          <w:numId w:val="5"/>
        </w:numPr>
      </w:pPr>
      <w:r>
        <w:t>Wydłużenie do 180 dni terminu na rozwiązanie bądź odstąpienia od umowy o wycieczkę. Po tym czasie klient otrzyma zwrot wpłat lub otrzyma vouchera do wykorzystania w przyszłości, w ciągu roku od dnia, w którym miała się odbyć.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Rozliczenie całej tegorocznej straty w przyszłym roku - branże szczególnie dotknięte kryzysem makroekonomicznym (np. transport, turystyka), w sytuacji spadku przychodów firmy o 50% w 2020 r. - w stosunku do 2019 r. - zyskają prawo obniżenia dochodu do opodatkowania o wysokość straty w 2020 r. poprzez korektę CIT za 2019 r. do limitu 5 mln zł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Przesunięcie płatności za media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Wakacje kredytowe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Wakacje od obowiązków administracyjnych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Dofinansowanie zatrudnienia przez państwo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Finansowanie postojowego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Możliwość odroczenia składek na ZUS – bez opłat i odsetek</w:t>
      </w:r>
    </w:p>
    <w:p w:rsidR="00CB550E" w:rsidRDefault="00CB550E" w:rsidP="00CB550E">
      <w:pPr>
        <w:pStyle w:val="Akapitzlist"/>
        <w:numPr>
          <w:ilvl w:val="0"/>
          <w:numId w:val="5"/>
        </w:numPr>
      </w:pPr>
      <w:r>
        <w:t>Prolongata terminu przekazania zaliczek na PIT od przychodów z szeroko rozumianej pracy pobranych w marcu i kwietniu do końca maja</w:t>
      </w:r>
    </w:p>
    <w:p w:rsidR="00CB550E" w:rsidRDefault="00CB550E" w:rsidP="00CB550E"/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>Duża firma, np. producent mebli:</w:t>
      </w:r>
    </w:p>
    <w:p w:rsidR="00CB550E" w:rsidRDefault="00CB550E" w:rsidP="00CB550E"/>
    <w:p w:rsidR="00CB550E" w:rsidRDefault="00CB550E" w:rsidP="00CB550E">
      <w:pPr>
        <w:pStyle w:val="Akapitzlist"/>
        <w:numPr>
          <w:ilvl w:val="0"/>
          <w:numId w:val="6"/>
        </w:numPr>
      </w:pPr>
      <w:r>
        <w:lastRenderedPageBreak/>
        <w:t>Większa dostępność kredytów - szybkie uruchomienie znaczących środków finansowych, które stanowić będą wsparcie dla sektora przedsiębiorstw. Wykorzystywane będą m.in. następujące instrumenty finansowe: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Fundusz Gwarancji Płynnościowych dla firm większych z zabezpieczeniem do 80%, udzielanych przez system bankowy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Program Kapitał dla Bezpieczeństwa i Wzrostu PFR. Możliwość uzyskania przez firmy średnie i duże z funduszu PFR Inwestycje podwyższenia kapitału lub finansowania w postaci obligacji - łącznie o wartości 6 mld zł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Ubezpieczenia obrotu handlowego KUKE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Przesunięcie wejścia w życie nowego JPK – dopiero od 1 lipca 2020 r.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Możliwość przesunięcia przez wójta / burmistrza / prezydenta miasta terminu na zapłacenie opłaty za użytkowanie wieczyste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Uelastycznienie przepisów rynku pracy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Prolongata ważności udzielonych pozwoleń na pracę dla obcokrajowców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Możliwość odroczenia składek na ZUS – bez opłat i odsetek</w:t>
      </w:r>
    </w:p>
    <w:p w:rsidR="00CB550E" w:rsidRDefault="00CB550E" w:rsidP="00CB550E">
      <w:pPr>
        <w:pStyle w:val="Akapitzlist"/>
        <w:numPr>
          <w:ilvl w:val="0"/>
          <w:numId w:val="6"/>
        </w:numPr>
      </w:pPr>
      <w:r>
        <w:t>Prolongata terminu przekazania zaliczek na PIT od przychodów z szeroko rozumianej pracy pobranych w marcu i kwietniu do końca maja</w:t>
      </w:r>
    </w:p>
    <w:p w:rsidR="00CB550E" w:rsidRPr="00CB550E" w:rsidRDefault="00CB550E" w:rsidP="00CB550E">
      <w:pPr>
        <w:rPr>
          <w:b/>
          <w:bCs/>
        </w:rPr>
      </w:pPr>
      <w:r w:rsidRPr="00CB550E">
        <w:rPr>
          <w:b/>
          <w:bCs/>
        </w:rPr>
        <w:t xml:space="preserve">Młoda mama zatrudniona na umowę zlecenie: 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bookmarkStart w:id="0" w:name="_GoBack"/>
      <w:bookmarkEnd w:id="0"/>
      <w:r>
        <w:t>Wypłata świadczenia gwarantowanego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Dodatkowy zasiłek opiekuńczy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Przedłużenie do końca maja terminu na złożenie deklaracji podatkowej PIT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Wakacje kredytowe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Opieka żłobkowa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Ochrona konsumentów w zakresie nadmiernego wzrostu cen i innych nieuczciwych praktyk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Przesunięcie płatności za media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Jeśli jest twórcą - Wsparcie finansowe twórców i artystów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Możliwość odroczenia składek na ZUS – bez opłat i odsetek</w:t>
      </w:r>
    </w:p>
    <w:p w:rsidR="00CB550E" w:rsidRDefault="00CB550E" w:rsidP="00CB550E">
      <w:pPr>
        <w:pStyle w:val="Akapitzlist"/>
        <w:numPr>
          <w:ilvl w:val="0"/>
          <w:numId w:val="2"/>
        </w:numPr>
      </w:pPr>
      <w:r>
        <w:t>Prolongata terminu przekazania zaliczek na PIT od przychodów z szeroko rozumianej pracy pobranych w marcu i kwietniu do końca maja</w:t>
      </w:r>
    </w:p>
    <w:p w:rsidR="00C90F8D" w:rsidRDefault="00CB550E"/>
    <w:sectPr w:rsidR="00C9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63E2A"/>
    <w:multiLevelType w:val="hybridMultilevel"/>
    <w:tmpl w:val="E8662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E417C"/>
    <w:multiLevelType w:val="hybridMultilevel"/>
    <w:tmpl w:val="C572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0055"/>
    <w:multiLevelType w:val="hybridMultilevel"/>
    <w:tmpl w:val="D13C6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35502"/>
    <w:multiLevelType w:val="hybridMultilevel"/>
    <w:tmpl w:val="E14A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60031"/>
    <w:multiLevelType w:val="hybridMultilevel"/>
    <w:tmpl w:val="EB34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8623F"/>
    <w:multiLevelType w:val="hybridMultilevel"/>
    <w:tmpl w:val="8B62B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0E"/>
    <w:rsid w:val="000A7E0F"/>
    <w:rsid w:val="00CB550E"/>
    <w:rsid w:val="00F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64C31-3013-48BE-9CD1-2DE3C0E2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76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08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27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01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78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4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1095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beata.klimczak</dc:creator>
  <cp:keywords/>
  <dc:description/>
  <cp:lastModifiedBy>beata.klimczak</cp:lastModifiedBy>
  <cp:revision>1</cp:revision>
  <dcterms:created xsi:type="dcterms:W3CDTF">2020-03-19T21:34:00Z</dcterms:created>
  <dcterms:modified xsi:type="dcterms:W3CDTF">2020-03-19T21:38:00Z</dcterms:modified>
</cp:coreProperties>
</file>