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690" w:rsidRPr="00060690" w:rsidRDefault="00060690" w:rsidP="0006069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Tekst ustawy przekazany do Senatu zgodnie z art. 52 regulaminu Sejmu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60690" w:rsidRPr="00060690" w:rsidRDefault="00060690" w:rsidP="00060690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USTAWA</w:t>
      </w:r>
    </w:p>
    <w:p w:rsidR="00060690" w:rsidRPr="00060690" w:rsidRDefault="00060690" w:rsidP="00060690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60690">
        <w:rPr>
          <w:rFonts w:ascii="Arial" w:eastAsia="Times New Roman" w:hAnsi="Arial" w:cs="Arial"/>
          <w:sz w:val="18"/>
          <w:szCs w:val="18"/>
          <w:lang w:eastAsia="pl-PL"/>
        </w:rPr>
        <w:t xml:space="preserve">z dnia 11 września 2019 r. </w:t>
      </w:r>
    </w:p>
    <w:p w:rsidR="00060690" w:rsidRPr="00060690" w:rsidRDefault="00060690" w:rsidP="00060690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o zmianie ustawy – Prawo ochrony środowiska oraz niektórych innych ustaw</w:t>
      </w:r>
      <w:bookmarkStart w:id="1" w:name="_ftnref1"/>
      <w:bookmarkEnd w:id="1"/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"http://orka.sejm.gov.pl/proc8.nsf/ustawy/3522_u.htm" \l "_ftn1" </w:instrTex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[1]</w: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 xml:space="preserve">), </w:t>
      </w:r>
      <w:bookmarkStart w:id="2" w:name="_ftnref2"/>
      <w:bookmarkEnd w:id="2"/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"http://orka.sejm.gov.pl/proc8.nsf/ustawy/3522_u.htm" \l "_ftn2" </w:instrTex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[2]</w: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060690" w:rsidRPr="00060690" w:rsidRDefault="00060690" w:rsidP="00060690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 xml:space="preserve">Art. 1. W ustawie z dnia 27 kwietnia 2001 r. – Prawo ochrony środowiska (Dz. U. z 2019 r. poz. 1396, z </w:t>
      </w:r>
      <w:proofErr w:type="spellStart"/>
      <w:r w:rsidRPr="00060690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060690">
        <w:rPr>
          <w:rFonts w:ascii="Arial" w:eastAsia="Times New Roman" w:hAnsi="Arial" w:cs="Arial"/>
          <w:sz w:val="18"/>
          <w:szCs w:val="18"/>
          <w:lang w:eastAsia="pl-PL"/>
        </w:rPr>
        <w:t>. zm.</w:t>
      </w:r>
      <w:bookmarkStart w:id="3" w:name="_ftnref3"/>
      <w:bookmarkEnd w:id="3"/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"http://orka.sejm.gov.pl/proc8.nsf/ustawy/3522_u.htm" \l "_ftn3" </w:instrTex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[3]</w: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)) wprowadza się następujące zmiany:</w:t>
      </w:r>
    </w:p>
    <w:p w:rsidR="00060690" w:rsidRPr="00060690" w:rsidRDefault="00060690" w:rsidP="00060690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1)     po art. 168a dodaje się art. 168b w brzmieniu: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„Art. 168b. 1. Kontrolę spełniania przez wprowadzony do obrotu kocioł na paliwo stałe o znamionowej mocy cieplnej nie większej niż 500 kW wymagań określonych w przepisach wydanych na podstawie art. 169 ust. 1 prowadzą właściwe organy Inspekcji Handlowej na zasadach określonych w przepisach ustawy z dnia 15 grudnia 2000 r. o Inspekcji Handlowej (Dz. U. z 2019 r. poz. 1668).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2. Organy, o których mowa w ust. 1, przekazują do Prezesa Urzędu Ochrony Konkurencji i Konsumentów wyniki przeprowadzonych kontroli zawierające następujące dane: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1)     liczbę przeprowadzonych kontroli;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2)     liczbę skontrolowanych podmiotów;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3)     liczbę skontrolowanych kotłów na paliwo stałe o znamionowej mocy cieplnej nie większej niż 500 kW;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4)     liczbę i rodzaj stwierdzonych nieprawidłowości;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5)     liczbę wydanych zaleceń pokontrolnych oraz liczbę i wartość nałożonych administracyjnych kar pieniężnych.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3. Prezes Urzędu Ochrony Konkurencji i Konsumentów na podstawie danych, o których mowa w ust. 2, podaje do publicznej wiadomości, w terminie do końca marca roku następującego po roku, którego te dane dotyczą, zbiorczą informację zawierającą dane, o których mowa w ust. 2.”;</w:t>
      </w:r>
    </w:p>
    <w:p w:rsidR="00060690" w:rsidRPr="00060690" w:rsidRDefault="00060690" w:rsidP="00060690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2)     w art. 171b dotychczasową treść oznacza się jako ust. 1 i dodaje się ust. 2 w brzmieniu: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„2. Uwzględniając potrzebę ograniczania negatywnego wpływu na środowisko oraz zdrowie i życie ludzi, przepisu ust. 1 nie stosuje się do kotłów na paliwo stałe o znamionowej mocy cieplnej nie większej niż 500 kW, które nie spełniają wymagań określonych w przepisach wydanych na podstawie art. 169 ust. 1.”;</w:t>
      </w:r>
    </w:p>
    <w:p w:rsidR="00060690" w:rsidRPr="00060690" w:rsidRDefault="00060690" w:rsidP="00060690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3)     w tytule III w dziale II w rozdziale 3 po art. 172 dodaje się art. 172a w brzmieniu:</w:t>
      </w:r>
    </w:p>
    <w:p w:rsidR="00060690" w:rsidRPr="00060690" w:rsidRDefault="00060690" w:rsidP="00060690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„Art. 172a. Ilekroć w niniejszym rozdziale jest mowa o: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 xml:space="preserve">1)     kotle na paliwo stałe o znamionowej mocy cieplnej nie większej niż 500 kW – rozumie się przez to kocioł na paliwo stałe o znamionowej mocy cieplnej nie większej niż 500 kW, w tym kocioł wchodzący w skład zestawów zawierających kocioł na paliwo stałe, ogrzewacze dodatkowe, regulatory temperatury i urządzenia słoneczne, o którym mowa w art. 1 ust. 2 lit. a i d rozporządzenia Komisji (UE) 2015/1189 z dnia 28 kwietnia 2015 r. w sprawie wykonania dyrektywy Parlamentu Europejskiego i Rady 2009/125/WE w odniesieniu do wymogów dotyczących </w:t>
      </w:r>
      <w:proofErr w:type="spellStart"/>
      <w:r w:rsidRPr="00060690">
        <w:rPr>
          <w:rFonts w:ascii="Arial" w:eastAsia="Times New Roman" w:hAnsi="Arial" w:cs="Arial"/>
          <w:sz w:val="18"/>
          <w:szCs w:val="18"/>
          <w:lang w:eastAsia="pl-PL"/>
        </w:rPr>
        <w:t>ekoprojektu</w:t>
      </w:r>
      <w:proofErr w:type="spellEnd"/>
      <w:r w:rsidRPr="00060690">
        <w:rPr>
          <w:rFonts w:ascii="Arial" w:eastAsia="Times New Roman" w:hAnsi="Arial" w:cs="Arial"/>
          <w:sz w:val="18"/>
          <w:szCs w:val="18"/>
          <w:lang w:eastAsia="pl-PL"/>
        </w:rPr>
        <w:t xml:space="preserve"> dla kotłów na paliwo stałe (Tekst mający znaczenie dla EOG) (Dz. Urz. UE L 193 z 21.07.2015, str. 100, z </w:t>
      </w:r>
      <w:proofErr w:type="spellStart"/>
      <w:r w:rsidRPr="00060690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060690">
        <w:rPr>
          <w:rFonts w:ascii="Arial" w:eastAsia="Times New Roman" w:hAnsi="Arial" w:cs="Arial"/>
          <w:sz w:val="18"/>
          <w:szCs w:val="18"/>
          <w:lang w:eastAsia="pl-PL"/>
        </w:rPr>
        <w:t>. zm.</w:t>
      </w:r>
      <w:bookmarkStart w:id="4" w:name="_ftnref4"/>
      <w:bookmarkEnd w:id="4"/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"http://orka.sejm.gov.pl/proc8.nsf/ustawy/3522_u.htm" \l "_ftn4" </w:instrTex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[4]</w: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)), z wyłączeniem kotła o znamionowej mocy cieplnej większej niż 100 kW z ręcznym zasilaniem balotami słomy;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 xml:space="preserve">2)     wprowadzeniu do obrotu kotła na paliwo stałe o znamionowej mocy cieplnej nie większej niż 500 kW – rozumie się przez to każde rozporządzenie kotłem na paliwo stałe o znamionowej mocy cieplnej nie większej niż 500 kW na terytorium Rzeczypospolitej Polskiej przez dokonanie jakiejkolwiek czynności prawnej lub faktycznej, </w: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tym najem oraz sprzedaż za pomocą środków porozumiewania się na odległość, w ramach prowadzonej działalności gospodarczej lub realizowane w innej formie niż w ramach prowadzonej działalności gospodarczej.”;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4)     w tytule V dodaje się dział VI w brzmieniu: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„Dział VI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Administracyjne kary pieniężne za naruszenie zakazu wprowadzania do obrotu kotłów na paliwo stałe o znamionowej mocy cieplnej nie większej niż 500 kW niespełniających wymagań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Art. 321k. 1. Przedsiębiorca, który narusza zakaz określony w art. 171 przez wprowadzenie do obrotu kotła na paliwo stałe o znamionowej mocy cieplnej nie większej niż 500 kW w rozumieniu art. 172a pkt 2, który nie odpowiada wymaganiom określonym w przepisach wydanych na podstawie art. 169 ust. 1, podlega administracyjnej karze pieniężnej.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2. Administracyjna kara pieniężna wynosi do 5% przychodu przedsiębiorcy osiągniętego w poprzednim roku kalendarzowym, jednak nie mniej niż 10 000 zł.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3. Jeżeli przedsiębiorca w poprzednim roku kalendarzowym nie osiągnął przychodu albo nie prowadził działalności gospodarczej, administracyjna kara pieniężna wynosi 10 000 zł.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4. Administracyjną karę pieniężną wymierza, w drodze decyzji, wojewódzki inspektor Inspekcji Handlowej właściwy ze względu na miejsce przeprowadzenia kontroli, o której mowa w art. 168b ust. 1.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5. Przedsiębiorca jest obowiązany do dostarczenia wojewódzkiemu inspektorowi Inspekcji Handlowej właściwemu ze względu na miejsce przeprowadzenia kontroli, o której mowa w art. 168b ust. 1, na każde jego wezwanie, w terminie 30 dni od dnia otrzymania tego wezwania, danych niezbędnych do określenia podstawy wymiaru administracyjnej kary pieniężnej.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6. Administracyjna kara pieniężna stanowi dochód budżetu państwa i jest wnoszona na rachunek bankowy właściwego wojewódzkiego inspektoratu Inspekcji Handlowej.”;</w:t>
      </w:r>
    </w:p>
    <w:p w:rsidR="00060690" w:rsidRPr="00060690" w:rsidRDefault="00060690" w:rsidP="00060690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5)     w art. 348 dodaje się ust. 3 w brzmieniu: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„3. Przepisu ust. 1 nie stosuje się do osoby fizycznej będącej przedsiębiorcą, która dokonuje wprowadzenia do obrotu kotła na paliwo stałe o znamionowej mocy cieplnej nie większej niż 500 kW w rozumieniu art. 172a pkt 2, który nie odpowiada wymaganiom określonym w przepisach wydanych na podstawie art. 169 ust. 1.”.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 xml:space="preserve">Art. 2. W ustawie z dnia 26 lipca 1991 r. o podatku dochodowym od osób fizycznych (Dz. U. z 2019 r. poz. 1387, z </w:t>
      </w:r>
      <w:proofErr w:type="spellStart"/>
      <w:r w:rsidRPr="00060690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060690">
        <w:rPr>
          <w:rFonts w:ascii="Arial" w:eastAsia="Times New Roman" w:hAnsi="Arial" w:cs="Arial"/>
          <w:sz w:val="18"/>
          <w:szCs w:val="18"/>
          <w:lang w:eastAsia="pl-PL"/>
        </w:rPr>
        <w:t>. zm.</w:t>
      </w:r>
      <w:bookmarkStart w:id="5" w:name="_ftnref5"/>
      <w:bookmarkEnd w:id="5"/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"http://orka.sejm.gov.pl/proc8.nsf/ustawy/3522_u.htm" \l "_ftn5" </w:instrTex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[5]</w: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)) w art. 21 w ust. 1 pkt 129a otrzymuje brzmienie: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 xml:space="preserve">„129a) świadczenia, w szczególności dotacje oraz kwoty umorzonych pożyczek, otrzymane ze środków Narodowego Funduszu Ochrony Środowiska i Gospodarki Wodnej lub wojewódzkich funduszy ochrony środowiska i gospodarki wodnej, na przygotowanie dokumentacji oraz realizację przedsięwzięcia, w tym otrzymane ze środków udostępnionych bankom zgodnie z art. 411 ust. 10 ustawy z dnia 27 kwietnia 2001 r. – Prawo ochrony środowiska (Dz. U. z 2019 r. poz. 1396, z </w:t>
      </w:r>
      <w:proofErr w:type="spellStart"/>
      <w:r w:rsidRPr="00060690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060690">
        <w:rPr>
          <w:rFonts w:ascii="Arial" w:eastAsia="Times New Roman" w:hAnsi="Arial" w:cs="Arial"/>
          <w:sz w:val="18"/>
          <w:szCs w:val="18"/>
          <w:lang w:eastAsia="pl-PL"/>
        </w:rPr>
        <w:t>. zm.</w:t>
      </w:r>
      <w:bookmarkStart w:id="6" w:name="_ftnref6"/>
      <w:bookmarkEnd w:id="6"/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"http://orka.sejm.gov.pl/proc8.nsf/ustawy/3522_u.htm" \l "_ftn6" </w:instrTex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[6]</w: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));”.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Art. 3. W ustawie z dnia 7 lipca 1994 r. – Prawo budowlane (Dz. U. z 2019 r. poz. 1186, 1309, 1524, 1696 i 1712) w art. 33 w ust. 2 w pkt 8 kropkę zastępuje się średnikiem i dodaje się pkt 9 w brzmieniu: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 xml:space="preserve">„9)    oświadczenie projektanta dotyczące możliwości podłączenia projektowanego budynku do istniejącej sieci ciepłowniczej, zgodnie z warunkami określonymi w art. 7b ustawy z dnia 10 kwietnia 1997 r. – Prawo energetyczne (Dz. U. z 2019 r. poz. 755, z </w:t>
      </w:r>
      <w:proofErr w:type="spellStart"/>
      <w:r w:rsidRPr="00060690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060690">
        <w:rPr>
          <w:rFonts w:ascii="Arial" w:eastAsia="Times New Roman" w:hAnsi="Arial" w:cs="Arial"/>
          <w:sz w:val="18"/>
          <w:szCs w:val="18"/>
          <w:lang w:eastAsia="pl-PL"/>
        </w:rPr>
        <w:t>. zm.</w:t>
      </w:r>
      <w:bookmarkStart w:id="7" w:name="_ftnref7"/>
      <w:bookmarkEnd w:id="7"/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"http://orka.sejm.gov.pl/proc8.nsf/ustawy/3522_u.htm" \l "_ftn7" </w:instrTex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[7]</w: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 xml:space="preserve">)), złożone pod rygorem odpowiedzialności karnej za złożenie fałszywego oświadczenia wynikającej z art. 233 § 1 ustawy z dnia 6 czerwca 1997 r. – Kodeks karny (Dz. U. z 2018 r. poz. 1600, z </w:t>
      </w:r>
      <w:proofErr w:type="spellStart"/>
      <w:r w:rsidRPr="00060690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060690">
        <w:rPr>
          <w:rFonts w:ascii="Arial" w:eastAsia="Times New Roman" w:hAnsi="Arial" w:cs="Arial"/>
          <w:sz w:val="18"/>
          <w:szCs w:val="18"/>
          <w:lang w:eastAsia="pl-PL"/>
        </w:rPr>
        <w:t>. zm.</w:t>
      </w:r>
      <w:bookmarkStart w:id="8" w:name="_ftnref8"/>
      <w:bookmarkEnd w:id="8"/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"http://orka.sejm.gov.pl/proc8.nsf/ustawy/3522_u.htm" \l "_ftn8" </w:instrTex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[8]</w: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)); klauzula ta zastępuje pouczenie organu o odpowiedzialności karnej za składanie fałszywych oświadczeń.”.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 xml:space="preserve">Art. 4. W ustawie z dnia 10 kwietnia 1997 r. – Prawo energetyczne (Dz. U. z 2019 r. poz. 755, z </w:t>
      </w:r>
      <w:proofErr w:type="spellStart"/>
      <w:r w:rsidRPr="00060690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060690">
        <w:rPr>
          <w:rFonts w:ascii="Arial" w:eastAsia="Times New Roman" w:hAnsi="Arial" w:cs="Arial"/>
          <w:sz w:val="18"/>
          <w:szCs w:val="18"/>
          <w:lang w:eastAsia="pl-PL"/>
        </w:rPr>
        <w:t>. zm.</w:t>
      </w:r>
      <w:bookmarkStart w:id="9" w:name="_ftnref9"/>
      <w:bookmarkEnd w:id="9"/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"http://orka.sejm.gov.pl/proc8.nsf/ustawy/3522_u.htm" \l "_ftn9" </w:instrTex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[9]</w: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)) w art. 7b: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 xml:space="preserve">1)     ust. 1–3 otrzymują brzmienie: 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„1. Podmiot posiadający tytuł prawny do korzystania z obiektu, który nie jest przyłączony do sieci ciepłowniczej lub wyposażony w indywidualne źródło ciepła, zlokalizowanego na terenie, na którym istnieją techniczne warunki dostarczania ciepła z systemu ciepłowniczego lub chłodniczego, zapewnia efektywne energetycznie wykorzystanie lokalnych zasobów paliw i energii przez przyłączenie obiektu do sieci ciepłowniczej, o ile istnieją techniczne i ekonomiczne warunki przyłączenia do sieci ciepłowniczej i dostarczania ciepła do tego obiektu z sieci ciepłowniczej. 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2. Przez system ciepłowniczy lub chłodniczy rozumie się sieć ciepłowniczą lub chłodniczą oraz współpracujące z tą siecią urządzenia lub instalacje służące do wytwarzania lub odbioru ciepła lub chłodu.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3. Obowiązku, o którym mowa w ust. 1, nie stosuje się, jeżeli: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1)     ceny ciepła stosowane przez przedsiębiorstwo energetyczne zajmujące się wytwarzaniem ciepła i dostarczające ciepło do sieci ciepłowniczej, o której mowa w ust. 1, są równe lub wyższe od obowiązującej średniej ceny sprzedaży ciepła, o której mowa w art. 23 ust. 2 pkt 18 lit. c, dla źródła ciepła zużywającego tego samego rodzaju paliwo albo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2)     planowane jest dostarczanie ciepła z indywidualnego źródła ciepła w obiekcie, które charakteryzuje się współczynnikiem nakładu nieodnawialnej energii pierwotnej nie wyższym niż 0,8 lub pompy ciepła lub ogrzewania elektrycznego.”;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2)     po ust. 3 dodaje się ust. 3a i 3b w brzmieniu: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„3a. Współczynnik nakładu nieodnawialnej energii pierwotnej, o którym mowa w ust. 3 pkt 2, określa się zgodnie z przepisami wydanymi na podstawie art. 15 ustawy z dnia 29 sierpnia 2014 r. o charakterystyce energetycznej budynków (Dz. U. z 2018 r. poz. 1984 oraz z 2019 r. poz. 730).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3b. W odniesieniu do obiektów zasilanych z więcej niż jednego indywidualnego źródła ciepła, na potrzeby określenia współczynnika nakładu nieodnawialnej energii pierwotnej, o którym mowa w ust. 3 pkt 2, dla całości ciepła dostarczanego do obiektu, stosuje się odpowiednio metodologię zawartą w przepisach wydanych na podstawie art. 29 ustawy z dnia 20 maja 2016 r. o efektywności energetycznej (Dz. U. z 2019 r. poz. 545, 1030 i 1210).”.</w:t>
      </w:r>
    </w:p>
    <w:p w:rsidR="00060690" w:rsidRPr="00060690" w:rsidRDefault="00060690" w:rsidP="00060690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Art. 5. W ustawie z dnia 15 grudnia 2000 r. o Inspekcji Handlowej (Dz. U. z 2019 r. poz. 1668) w art. 3 w ust. 1 po pkt 2d dodaje się pkt 2da w brzmieniu: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„2da)  przeprowadzanie kontroli, o której mowa w art. 168b ust. 1 ustawy z dnia 27 kwietnia 2001 r. – Prawo ochrony środowiska;”.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 xml:space="preserve">Art. 6. W ustawie z dnia 11 marca 2004 r. o podatku od towarów i usług (Dz. U. z 2018 r. poz. 2174, z </w:t>
      </w:r>
      <w:proofErr w:type="spellStart"/>
      <w:r w:rsidRPr="00060690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060690">
        <w:rPr>
          <w:rFonts w:ascii="Arial" w:eastAsia="Times New Roman" w:hAnsi="Arial" w:cs="Arial"/>
          <w:sz w:val="18"/>
          <w:szCs w:val="18"/>
          <w:lang w:eastAsia="pl-PL"/>
        </w:rPr>
        <w:t>. zm.</w:t>
      </w:r>
      <w:bookmarkStart w:id="10" w:name="_ftnref10"/>
      <w:bookmarkEnd w:id="10"/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"http://orka.sejm.gov.pl/proc8.nsf/ustawy/3522_u.htm" \l "_ftn10" </w:instrTex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[10]</w: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)) w art. 41 ust. 12a otrzymuje brzmienie: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 xml:space="preserve">„12a. Przez budownictwo objęte społecznym programem mieszkaniowym rozumie się obiekty budownictwa mieszkaniowego lub ich części, z wyłączeniem lokali użytkowych, lokale mieszkalne w budynkach niemieszkalnych sklasyfikowanych w Polskiej Klasyfikacji Obiektów Budowlanych w dziale 12, oraz obiekty sklasyfikowane w Polskiej Klasyfikacji Obiektów Budowlanych w klasie ex 1264 – wyłącznie budynki instytucji ochrony zdrowia świadczących usługi zakwaterowania z opieką lekarską i pielęgniarską, zwłaszcza dla ludzi starszych i niepełnosprawnych, a także </w:t>
      </w:r>
      <w:proofErr w:type="spellStart"/>
      <w:r w:rsidRPr="00060690">
        <w:rPr>
          <w:rFonts w:ascii="Arial" w:eastAsia="Times New Roman" w:hAnsi="Arial" w:cs="Arial"/>
          <w:sz w:val="18"/>
          <w:szCs w:val="18"/>
          <w:lang w:eastAsia="pl-PL"/>
        </w:rPr>
        <w:t>mikroinstalację</w:t>
      </w:r>
      <w:proofErr w:type="spellEnd"/>
      <w:r w:rsidRPr="00060690">
        <w:rPr>
          <w:rFonts w:ascii="Arial" w:eastAsia="Times New Roman" w:hAnsi="Arial" w:cs="Arial"/>
          <w:sz w:val="18"/>
          <w:szCs w:val="18"/>
          <w:lang w:eastAsia="pl-PL"/>
        </w:rPr>
        <w:t xml:space="preserve">, o której mowa w art. 2 pkt 19 ustawy z dnia 20 lutego 2015 r. o odnawialnych źródłach energii (Dz. U. z 2018 r. poz. 2389, z </w:t>
      </w:r>
      <w:proofErr w:type="spellStart"/>
      <w:r w:rsidRPr="00060690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060690">
        <w:rPr>
          <w:rFonts w:ascii="Arial" w:eastAsia="Times New Roman" w:hAnsi="Arial" w:cs="Arial"/>
          <w:sz w:val="18"/>
          <w:szCs w:val="18"/>
          <w:lang w:eastAsia="pl-PL"/>
        </w:rPr>
        <w:t>. zm.</w:t>
      </w:r>
      <w:bookmarkStart w:id="11" w:name="_ftnref11"/>
      <w:bookmarkEnd w:id="11"/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"http://orka.sejm.gov.pl/proc8.nsf/ustawy/3522_u.htm" \l "_ftn11" </w:instrTex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[11]</w:t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)) funkcjonalnie z nimi związaną, z zastrzeżeniem ust. 12b.”.</w:t>
      </w:r>
    </w:p>
    <w:p w:rsidR="00060690" w:rsidRPr="00060690" w:rsidRDefault="00060690" w:rsidP="00060690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Art. 7. Do dnia 31 grudnia 2019 r. przez kocioł na paliwo stałe o znamionowej mocy cieplnej nie większej niż 500 kW rozumie się kocioł na paliwo stałe o znamionowej mocy cieplnej nie większej niż 500 kW, w tym kocioł wchodzący w skład zestawów zawierających kocioł na paliwo stałe, ogrzewacze dodatkowe, regulatory temperatury i urządzenia słoneczne, z wyłączeniem kotła: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1)     przeznaczonego do ogrzewania i rozprowadzania gazowych nośników ciepła, takich jak para wodna lub powietrze;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2)     kogeneracyjnego na paliwo stałe o znamionowej mocy elektrycznej nie mniejszej niż 50 kW;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3)     o znamionowej mocy cieplnej większej niż 100 kW z ręcznym zasilaniem balotami słomy.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Art. 8. Kontrole, o których mowa w art. 168b ust. 1 ustawy zmienianej w art. 1, dotyczące kotłów na paliwo stałe o znamionowej mocy cieplnej nie większej niż 500 kW, o których mowa w art. 7, rozpoczęte przed dniem 1 stycznia 2020 r., są prowadzone do ich zakończenia.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Art. 9. W przypadku gdy w wyniku kontroli, o której mowa w art. 168b ust. 1 ustawy zmienianej w art. 1, zostanie stwierdzone, że kocioł na paliwo stałe o znamionowej mocy cieplnej nie większej niż 500 kW, o którym mowa w art. 7, nie odpowiada wymaganiom określonym w przepisach wydanych na podstawie art. 169 ust. 1 ustawy zmienianej w art. 1 w brzmieniu obowiązującym w dniu 31 grudnia 2019 r., przepisy działu VI tytułu V ustawy zmienianej w art. 1 stosuje się.</w:t>
      </w:r>
    </w:p>
    <w:p w:rsidR="00060690" w:rsidRPr="00060690" w:rsidRDefault="00060690" w:rsidP="00060690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Art. 10. 1. W latach 2019–2028 maksymalny limit wydatków budżetu państwa przeznaczonych na realizację zadań Prezesa Urzędu Ochrony Konkurencji i Konsumentów wynikających z ustawy wynosi 9 000 tys. zł, z tym że w roku: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1)     2019 – wynosi 900,00 tys. zł;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2)     2020 – wynosi 900,00 tys. zł;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3)     2021 – wynosi 900,00 tys. zł;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4)     2022 – wynosi 900,00 tys. zł;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5)     2023 – wynosi 900,00 tys. zł;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6)     2024 – wynosi 900,00 tys. zł;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7)     2025 – wynosi 900,00 tys. zł;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8)     2026 – wynosi 900,00 tys. zł;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9)     2027 – wynosi 900,00 tys. zł;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10)   2028 – wynosi 900,00 tys. zł.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2. Prezes Urzędu Ochrony Konkurencji i Konsumentów monitoruje wykorzystanie limitów wydatków, o których mowa w ust. 1, oraz jest odpowiedzialny za wdrożenie mechanizmu korygującego, o którym mowa w ust. 3.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3. W przypadku gdy wielkość wydatków po pierwszym półroczu danego roku budżetowego wyniesie więcej niż 65% limitu wydatków przewidzianych na dany rok, Prezes Urzędu Ochrony Konkurencji i Konsumentów obniża wielkość środków przeznaczonych na wydatki w drugim półroczu o kwotę stanowiącą różnicę między wielkością tego limitu a kwotą przekroczenia wydatków.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Art. 11. Ustawa wchodzi w życie po upływie 14 dni od dnia ogłoszenia, z wyjątkiem art. 1 pkt 3 w zakresie art. 172a pkt 1, który wchodzi w życie z dniem 1 stycznia 2020 r.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60690" w:rsidRPr="00060690" w:rsidRDefault="00060690" w:rsidP="0006069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                                                                                              MARSZAŁEK SEJMU</w:t>
      </w:r>
    </w:p>
    <w:p w:rsidR="00060690" w:rsidRPr="00060690" w:rsidRDefault="00060690" w:rsidP="0006069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60690" w:rsidRPr="00060690" w:rsidRDefault="00060690" w:rsidP="0006069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60690" w:rsidRPr="00060690" w:rsidRDefault="00060690" w:rsidP="0006069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60690" w:rsidRPr="00060690" w:rsidRDefault="00060690" w:rsidP="0006069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                                                                                                  / – / Elżbieta Witek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 </w:t>
      </w:r>
    </w:p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60690" w:rsidRPr="00060690" w:rsidRDefault="00060690" w:rsidP="00060690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br w:type="textWrapping" w:clear="all"/>
      </w:r>
    </w:p>
    <w:p w:rsidR="00060690" w:rsidRPr="00060690" w:rsidRDefault="00060690" w:rsidP="00060690">
      <w:pPr>
        <w:autoSpaceDN w:val="0"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60690">
        <w:rPr>
          <w:rFonts w:ascii="Arial" w:eastAsia="Times New Roman" w:hAnsi="Arial" w:cs="Arial"/>
          <w:sz w:val="18"/>
          <w:szCs w:val="18"/>
          <w:lang w:eastAsia="pl-PL"/>
        </w:rPr>
        <w:pict>
          <v:rect id="_x0000_i1025" style="width:149.7pt;height:.75pt" o:hrpct="330" o:hrstd="t" o:hr="t" fillcolor="#a0a0a0" stroked="f"/>
        </w:pict>
      </w:r>
    </w:p>
    <w:bookmarkStart w:id="12" w:name="_ftn1"/>
    <w:bookmarkEnd w:id="12"/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"http://orka.sejm.gov.pl/proc8.nsf/ustawy/3522_u.htm" \l "_ftnref1" </w:instrTex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[1]</w: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    Niniejszą ustawą zmienia się: ustawę z dnia 26 lipca 1991 r. o podatku dochodowym od osób fizycznych, ustawę z dnia 7 lipca 1994 r. – Prawo budowlane, ustawę z dnia 10 kwietnia 1997 r. – Prawo energetyczne, ustawę z dnia 15 grudnia 2000 r. o Inspekcji Handlowej oraz ustawę z dnia 11 marca 2004 r. o podatku od towarów i usług.</w:t>
      </w:r>
    </w:p>
    <w:bookmarkStart w:id="13" w:name="_ftn2"/>
    <w:bookmarkEnd w:id="13"/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"http://orka.sejm.gov.pl/proc8.nsf/ustawy/3522_u.htm" \l "_ftnref2" </w:instrTex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[2]</w: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    Niniejsza ustawa została notyfikowana Komisji Europejskiej w dniu 27 maja 2019 r. pod numerem 2019/257/PL, zgodnie z § 4 rozporządzenia Rady Ministrów z dnia 23 grudnia 2002 r. w sprawie sposobu funkcjonowania krajowego systemu notyfikacji norm i aktów prawnych (Dz. U. poz. 2039 oraz z 2004 r. poz. 597), które wdraża dyrektywę (UE) 2015/1535 Parlamentu Europejskiego i Rady z dnia 9 września 2015 r. ustanawiającą procedurę udzielania informacji w dziedzinie przepisów technicznych oraz zasad dotyczących usług społeczeństwa informacyjnego (Dz. Urz. UE L 241 z 17.09.2015, str. 1).</w:t>
      </w:r>
    </w:p>
    <w:bookmarkStart w:id="14" w:name="_ftn3"/>
    <w:bookmarkEnd w:id="14"/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"http://orka.sejm.gov.pl/proc8.nsf/ustawy/3522_u.htm" \l "_ftnref3" </w:instrTex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[3]</w: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    Zmiany tekstu jednolitego wymienionej ustawy zostały ogłoszone w Dz. U. z 2019 r. poz. 1403, 1495, 1501, 1527, 1579, 1680 i 1712.</w:t>
      </w:r>
    </w:p>
    <w:bookmarkStart w:id="15" w:name="_ftn4"/>
    <w:bookmarkEnd w:id="15"/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"http://orka.sejm.gov.pl/proc8.nsf/ustawy/3522_u.htm" \l "_ftnref4" </w:instrTex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[4]</w: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    Zmiany wymienionego rozporządzenia zostały ogłoszone w Dz. Urz. UE L 346 z 20.12.2016, str. 51.</w:t>
      </w:r>
    </w:p>
    <w:bookmarkStart w:id="16" w:name="_ftn5"/>
    <w:bookmarkEnd w:id="16"/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"http://orka.sejm.gov.pl/proc8.nsf/ustawy/3522_u.htm" \l "_ftnref5" </w:instrTex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[5]</w: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    Zmiany tekstu jednolitego wymienionej ustawy zostały ogłoszone w Dz. U. z 2019 r. poz. 1358, 1394, 1495, 1622, 1649, 1655 i 1726.</w:t>
      </w:r>
    </w:p>
    <w:bookmarkStart w:id="17" w:name="_ftn6"/>
    <w:bookmarkEnd w:id="17"/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"http://orka.sejm.gov.pl/proc8.nsf/ustawy/3522_u.htm" \l "_ftnref6" </w:instrTex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[6]</w: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    Zmiany tekstu jednolitego wymienionej ustawy zostały ogłoszone w Dz. U. z 2019 r. poz. 1403, 1495, 1501, 1527, 1579, 1680 i 1712.</w:t>
      </w:r>
    </w:p>
    <w:bookmarkStart w:id="18" w:name="_ftn7"/>
    <w:bookmarkEnd w:id="18"/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"http://orka.sejm.gov.pl/proc8.nsf/ustawy/3522_u.htm" \l "_ftnref7" </w:instrTex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[7]</w: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    Zmiany tekstu jednolitego wymienionej ustawy zostały ogłoszone w Dz. U. z 2019 r. poz. 730, 1435, 1495, 1517, 1520, 1524 i 1556.</w:t>
      </w:r>
    </w:p>
    <w:bookmarkStart w:id="19" w:name="_ftn8"/>
    <w:bookmarkEnd w:id="19"/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"http://orka.sejm.gov.pl/proc8.nsf/ustawy/3522_u.htm" \l "_ftnref8" </w:instrTex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[8]</w: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 xml:space="preserve">)    Zmiany tekstu jednolitego wymienionej ustawy zostały ogłoszone w Dz. U. z 2018 r. poz. 2077 oraz z 2019 r. poz. 730, 858, 870, 1135 i 1579. </w:t>
      </w:r>
    </w:p>
    <w:bookmarkStart w:id="20" w:name="_ftn9"/>
    <w:bookmarkEnd w:id="20"/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"http://orka.sejm.gov.pl/proc8.nsf/ustawy/3522_u.htm" \l "_ftnref9" </w:instrTex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[9]</w: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    Zmiany tekstu jednolitego wymienionej ustawy zostały ogłoszone w Dz. U. z 2019 r. poz. 730, 1435, 1495, 1517, 1520, 1524 i 1556.</w:t>
      </w:r>
    </w:p>
    <w:bookmarkStart w:id="21" w:name="_ftn10"/>
    <w:bookmarkEnd w:id="21"/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"http://orka.sejm.gov.pl/proc8.nsf/ustawy/3522_u.htm" \l "_ftnref10" </w:instrTex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[10]</w: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  Zmiany tekstu jednolitego wymienionej ustawy zostały ogłoszone w Dz. U. z 2018 r. poz. 2193, 2215, 2244, 2354, 2392 i 2433 oraz z 2019 r. poz. 675, 1018, 1495 i 1520.</w:t>
      </w:r>
    </w:p>
    <w:bookmarkStart w:id="22" w:name="_ftn11"/>
    <w:bookmarkEnd w:id="22"/>
    <w:p w:rsidR="00060690" w:rsidRPr="00060690" w:rsidRDefault="00060690" w:rsidP="0006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"http://orka.sejm.gov.pl/proc8.nsf/ustawy/3522_u.htm" \l "_ftnref11" </w:instrTex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06069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[11]</w:t>
      </w:r>
      <w:r w:rsidRPr="0006069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060690">
        <w:rPr>
          <w:rFonts w:ascii="Arial" w:eastAsia="Times New Roman" w:hAnsi="Arial" w:cs="Arial"/>
          <w:sz w:val="18"/>
          <w:szCs w:val="18"/>
          <w:lang w:eastAsia="pl-PL"/>
        </w:rPr>
        <w:t>)  Zmiany tekstu jednolitego wymienionej ustawy zostały ogłoszone w Dz. U. z 2018 r. poz. 2245 oraz z 2019 r. poz. 42, 60, 730, 1495 i 1524.</w:t>
      </w:r>
    </w:p>
    <w:p w:rsidR="00C90F8D" w:rsidRDefault="00060690"/>
    <w:sectPr w:rsidR="00C90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90"/>
    <w:rsid w:val="00060690"/>
    <w:rsid w:val="000A7E0F"/>
    <w:rsid w:val="00FB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1B1E"/>
  <w15:chartTrackingRefBased/>
  <w15:docId w15:val="{D9230663-61AD-4EDE-8B3B-E2FF15B8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"/>
    <w:basedOn w:val="Normalny"/>
    <w:rsid w:val="0006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znrodzaktutznustawalubrozporzdzenieiorganwydajcy">
    <w:name w:val="oznrodzaktutznustawalubrozporzdzenieiorganwydajcy"/>
    <w:basedOn w:val="Normalny"/>
    <w:rsid w:val="0006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06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06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gpindeksgrnyipogrubienie">
    <w:name w:val="igpindeksgrnyipogrubienie"/>
    <w:basedOn w:val="Domylnaczcionkaakapitu"/>
    <w:rsid w:val="00060690"/>
  </w:style>
  <w:style w:type="character" w:styleId="Odwoanieprzypisudolnego">
    <w:name w:val="footnote reference"/>
    <w:basedOn w:val="Domylnaczcionkaakapitu"/>
    <w:uiPriority w:val="99"/>
    <w:semiHidden/>
    <w:unhideWhenUsed/>
    <w:rsid w:val="00060690"/>
  </w:style>
  <w:style w:type="paragraph" w:customStyle="1" w:styleId="artartustawynprozporzdzenia">
    <w:name w:val="artartustawynprozporzdzenia"/>
    <w:basedOn w:val="Normalny"/>
    <w:rsid w:val="0006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ppogrubienie"/>
    <w:basedOn w:val="Domylnaczcionkaakapitu"/>
    <w:rsid w:val="00060690"/>
  </w:style>
  <w:style w:type="character" w:customStyle="1" w:styleId="igindeksgrny">
    <w:name w:val="igindeksgrny"/>
    <w:basedOn w:val="Domylnaczcionkaakapitu"/>
    <w:rsid w:val="00060690"/>
  </w:style>
  <w:style w:type="paragraph" w:customStyle="1" w:styleId="pktpunkt">
    <w:name w:val="pktpunkt"/>
    <w:basedOn w:val="Normalny"/>
    <w:rsid w:val="0006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06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ustzmustartykuempunktem">
    <w:name w:val="zustzmustartykuempunktem"/>
    <w:basedOn w:val="Normalny"/>
    <w:rsid w:val="0006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06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tytdzoznzmozntytuudziauartykuempunktem">
    <w:name w:val="ztytdzoznzmozntytuudziauartykuempunktem"/>
    <w:basedOn w:val="Normalny"/>
    <w:rsid w:val="0006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tytdzprzedmzmprzedmtytuulubdziauartykuempunktem">
    <w:name w:val="ztytdzprzedmzmprzedmtytuulubdziauartykuempunktem"/>
    <w:basedOn w:val="Normalny"/>
    <w:rsid w:val="0006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ustnpkodeksu"/>
    <w:basedOn w:val="Normalny"/>
    <w:rsid w:val="0006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06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noniktreodnonika">
    <w:name w:val="odnoniktreodnonika"/>
    <w:basedOn w:val="Normalny"/>
    <w:rsid w:val="0006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16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beata.klimczak</dc:creator>
  <cp:keywords/>
  <dc:description/>
  <cp:lastModifiedBy>beata.klimczak</cp:lastModifiedBy>
  <cp:revision>1</cp:revision>
  <dcterms:created xsi:type="dcterms:W3CDTF">2019-09-13T10:46:00Z</dcterms:created>
  <dcterms:modified xsi:type="dcterms:W3CDTF">2019-09-13T10:47:00Z</dcterms:modified>
</cp:coreProperties>
</file>