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90" w:rsidRPr="00060690" w:rsidRDefault="00060690" w:rsidP="000606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Tekst ustawy przekazany do Senatu zgodnie z art. 52 regulaminu Sejmu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:rsidR="00060690" w:rsidRPr="00060690" w:rsidRDefault="00060690" w:rsidP="00060690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USTAWA</w:t>
      </w:r>
    </w:p>
    <w:p w:rsidR="00060690" w:rsidRPr="00060690" w:rsidRDefault="00060690" w:rsidP="00060690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z dnia 11 września 2019 r. </w:t>
      </w:r>
    </w:p>
    <w:p w:rsidR="00060690" w:rsidRPr="00060690" w:rsidRDefault="00060690" w:rsidP="0006069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o zmianie ustawy – Prawo ochrony środowiska oraz niektórych innych ustaw</w:t>
      </w:r>
      <w:bookmarkStart w:id="1" w:name="_ftnref1"/>
      <w:bookmarkEnd w:id="1"/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"http://orka.sejm.gov.pl/proc8.nsf/ustawy/3522_u.htm" \l "_ftn1" </w:instrTex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[1]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), </w:t>
      </w:r>
      <w:bookmarkStart w:id="2" w:name="_ftnref2"/>
      <w:bookmarkEnd w:id="2"/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"_ftn2"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[2]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060690" w:rsidRPr="00060690" w:rsidRDefault="00060690" w:rsidP="00060690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Art. 1. W ustawie z dnia 27 kwietnia 2001 r. – Prawo ochrony środowiska (Dz. U. z 2019 r. poz. 1396, z 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>. zm.</w:t>
      </w:r>
      <w:bookmarkStart w:id="3" w:name="_ftnref3"/>
      <w:bookmarkEnd w:id="3"/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"http://orka.sejm.gov.pl/proc8.nsf/ustawy/3522_u.htm" \l "_ftn3" </w:instrTex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[3]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)) wprowadza się następujące zmiany:</w:t>
      </w:r>
    </w:p>
    <w:p w:rsidR="00060690" w:rsidRPr="00060690" w:rsidRDefault="00060690" w:rsidP="00060690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1)     po art. 168a dodaje się art. 168b w brzmieniu: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„Art. 168b. 1. Kontrolę spełniania przez wprowadzony do obrotu kocioł na paliwo stałe o znamionowej mocy cieplnej nie większej niż 500 kW wymagań określonych w przepisach wydanych na podstawie art. 169 ust. 1 prowadzą właściwe organy Inspekcji Handlowej na zasadach określonych w przepisach ustawy z dnia 15 grudnia 2000 r. o Inspekcji Handlowej (Dz. U. z 2019 r. poz. 1668).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2. Organy, o których mowa w ust. 1, przekazują do Prezesa Urzędu Ochrony Konkurencji i Konsumentów wyniki przeprowadzonych kontroli zawierające następujące dane: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1)     liczbę przeprowadzonych kontroli;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2)     liczbę skontrolowanych podmiotów;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3)     liczbę skontrolowanych kotłów na paliwo stałe o znamionowej mocy cieplnej nie większej niż 500 kW;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4)     liczbę i rodzaj stwierdzonych nieprawidłowości;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5)     liczbę wydanych zaleceń pokontrolnych oraz liczbę i wartość nałożonych administracyjnych kar pieniężnych.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3. Prezes Urzędu Ochrony Konkurencji i Konsumentów na podstawie danych, o których mowa w ust. 2, podaje do publicznej wiadomości, w terminie do końca marca roku następującego po roku, którego te dane dotyczą, zbiorczą informację zawierającą dane, o których mowa w ust. 2.”;</w:t>
      </w:r>
    </w:p>
    <w:p w:rsidR="00060690" w:rsidRPr="00060690" w:rsidRDefault="00060690" w:rsidP="00060690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2)     w art. 171b dotychczasową treść oznacza się jako ust. 1 i dodaje się ust. 2 w brzmieniu: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„2. Uwzględniając potrzebę ograniczania negatywnego wpływu na środowisko oraz zdrowie i życie ludzi, przepisu ust. 1 nie stosuje się do kotłów na paliwo stałe o znamionowej mocy cieplnej nie większej niż 500 kW, które nie spełniają wymagań określonych w przepisach wydanych na podstawie art. 169 ust. 1.”;</w:t>
      </w:r>
    </w:p>
    <w:p w:rsidR="00060690" w:rsidRPr="00060690" w:rsidRDefault="00060690" w:rsidP="00060690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3)     w tytule III w dziale II w rozdziale 3 po art. 172 dodaje się art. 172a w brzmieniu:</w:t>
      </w:r>
    </w:p>
    <w:p w:rsidR="00060690" w:rsidRPr="00060690" w:rsidRDefault="00060690" w:rsidP="00060690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„Art. 172a. Ilekroć w niniejszym rozdziale jest mowa o: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1)     kotle na paliwo stałe o znamionowej mocy cieplnej nie większej niż 500 kW – rozumie się przez to kocioł na paliwo stałe o znamionowej mocy cieplnej nie większej niż 500 kW, w tym kocioł wchodzący w skład zestawów zawierających kocioł na paliwo stałe, ogrzewacze dodatkowe, regulatory temperatury i urządzenia słoneczne, o którym mowa w art. 1 ust. 2 lit. a i d rozporządzenia Komisji (UE) 2015/1189 z dnia 28 kwietnia 2015 r. w sprawie wykonania dyrektywy Parlamentu Europejskiego i Rady 2009/125/WE w odniesieniu do wymogów dotyczących 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ekoprojektu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 dla kotłów na paliwo stałe (Tekst mający znaczenie dla EOG) (Dz. Urz. UE L 193 z 21.07.2015, str. 100, z 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>. zm.</w:t>
      </w:r>
      <w:bookmarkStart w:id="4" w:name="_ftnref4"/>
      <w:bookmarkEnd w:id="4"/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"http://orka.sejm.gov.pl/proc8.nsf/ustawy/3522_u.htm" \l "_ftn4" </w:instrTex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[4]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)), z wyłączeniem kotła o znamionowej mocy cieplnej większej niż 100 kW z ręcznym zasilaniem balotami słomy;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2)     wprowadzeniu do obrotu kotła na paliwo stałe o znamionowej mocy cieplnej nie większej niż 500 kW – rozumie się przez to każde rozporządzenie kotłem na paliwo stałe o znamionowej mocy cieplnej nie większej niż 500 kW na terytorium Rzeczypospolitej Polskiej przez dokonanie jakiejkolwiek czynności prawnej lub faktycznej, 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tym najem oraz sprzedaż za pomocą środków porozumiewania się na odległość, w ramach prowadzonej działalności gospodarczej lub realizowane w innej formie niż w ramach prowadzonej działalności gospodarczej.”;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4)     w tytule V dodaje się dział VI w brzmieniu: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„Dział VI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Administracyjne kary pieniężne za naruszenie zakazu wprowadzania do obrotu kotłów na paliwo stałe o znamionowej mocy cieplnej nie większej niż 500 kW niespełniających wymagań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Art. 321k. 1. Przedsiębiorca, który narusza zakaz określony w art. 171 przez wprowadzenie do obrotu kotła na paliwo stałe o znamionowej mocy cieplnej nie większej niż 500 kW w rozumieniu art. 172a pkt 2, który nie odpowiada wymaganiom określonym w przepisach wydanych na podstawie art. 169 ust. 1, podlega administracyjnej karze pieniężnej.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2. Administracyjna kara pieniężna wynosi do 5% przychodu przedsiębiorcy osiągniętego w poprzednim roku kalendarzowym, jednak nie mniej niż 10 000 zł.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3. Jeżeli przedsiębiorca w poprzednim roku kalendarzowym nie osiągnął przychodu albo nie prowadził działalności gospodarczej, administracyjna kara pieniężna wynosi 10 000 zł.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4. Administracyjną karę pieniężną wymierza, w drodze decyzji, wojewódzki inspektor Inspekcji Handlowej właściwy ze względu na miejsce przeprowadzenia kontroli, o której mowa w art. 168b ust. 1.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5. Przedsiębiorca jest obowiązany do dostarczenia wojewódzkiemu inspektorowi Inspekcji Handlowej właściwemu ze względu na miejsce przeprowadzenia kontroli, o której mowa w art. 168b ust. 1, na każde jego wezwanie, w terminie 30 dni od dnia otrzymania tego wezwania, danych niezbędnych do określenia podstawy wymiaru administracyjnej kary pieniężnej.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6. Administracyjna kara pieniężna stanowi dochód budżetu państwa i jest wnoszona na rachunek bankowy właściwego wojewódzkiego inspektoratu Inspekcji Handlowej.”;</w:t>
      </w:r>
    </w:p>
    <w:p w:rsidR="00060690" w:rsidRPr="00060690" w:rsidRDefault="00060690" w:rsidP="00060690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5)     w art. 348 dodaje się ust. 3 w brzmieniu: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„3. Przepisu ust. 1 nie stosuje się do osoby fizycznej będącej przedsiębiorcą, która dokonuje wprowadzenia do obrotu kotła na paliwo stałe o znamionowej mocy cieplnej nie większej niż 500 kW w rozumieniu art. 172a pkt 2, który nie odpowiada wymaganiom określonym w przepisach wydanych na podstawie art. 169 ust. 1.”.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Art. 2. W ustawie z dnia 26 lipca 1991 r. o podatku dochodowym od osób fizycznych (Dz. U. z 2019 r. poz. 1387, z 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>. zm.</w:t>
      </w:r>
      <w:bookmarkStart w:id="5" w:name="_ftnref5"/>
      <w:bookmarkEnd w:id="5"/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"http://orka.sejm.gov.pl/proc8.nsf/ustawy/3522_u.htm" \l "_ftn5" </w:instrTex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[5]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)) w art. 21 w ust. 1 pkt 129a otrzymuje brzmienie: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„129a) świadczenia, w szczególności dotacje oraz kwoty umorzonych pożyczek, otrzymane ze środków Narodowego Funduszu Ochrony Środowiska i Gospodarki Wodnej lub wojewódzkich funduszy ochrony środowiska i gospodarki wodnej, na przygotowanie dokumentacji oraz realizację przedsięwzięcia, w tym otrzymane ze środków udostępnionych bankom zgodnie z art. 411 ust. 10 ustawy z dnia 27 kwietnia 2001 r. – Prawo ochrony środowiska (Dz. U. z 2019 r. poz. 1396, z 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>. zm.</w:t>
      </w:r>
      <w:bookmarkStart w:id="6" w:name="_ftnref6"/>
      <w:bookmarkEnd w:id="6"/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"http://orka.sejm.gov.pl/proc8.nsf/ustawy/3522_u.htm" \l "_ftn6" </w:instrTex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[6]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));”.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Art. 3. W ustawie z dnia 7 lipca 1994 r. – Prawo budowlane (Dz. U. z 2019 r. poz. 1186, 1309, 1524, 1696 i 1712) w art. 33 w ust. 2 w pkt 8 kropkę zastępuje się średnikiem i dodaje się pkt 9 w brzmieniu: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„9)    oświadczenie projektanta dotyczące możliwości podłączenia projektowanego budynku do istniejącej sieci ciepłowniczej, zgodnie z warunkami określonymi w art. 7b ustawy z dnia 10 kwietnia 1997 r. – Prawo energetyczne (Dz. U. z 2019 r. poz. 755, z 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>. zm.</w:t>
      </w:r>
      <w:bookmarkStart w:id="7" w:name="_ftnref7"/>
      <w:bookmarkEnd w:id="7"/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"http://orka.sejm.gov.pl/proc8.nsf/ustawy/3522_u.htm" \l "_ftn7" </w:instrTex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[7]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)), złożone pod rygorem odpowiedzialności karnej za złożenie fałszywego oświadczenia wynikającej z art. 233 § 1 ustawy z dnia 6 czerwca 1997 r. – Kodeks karny (Dz. U. z 2018 r. poz. 1600, z 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>. zm.</w:t>
      </w:r>
      <w:bookmarkStart w:id="8" w:name="_ftnref8"/>
      <w:bookmarkEnd w:id="8"/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"http://orka.sejm.gov.pl/proc8.nsf/ustawy/3522_u.htm" \l "_ftn8" </w:instrTex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[8]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)); klauzula ta zastępuje pouczenie organu o odpowiedzialności karnej za składanie fałszywych oświadczeń.”.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Art. 4. W ustawie z dnia 10 kwietnia 1997 r. – Prawo energetyczne (Dz. U. z 2019 r. poz. 755, z 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>. zm.</w:t>
      </w:r>
      <w:bookmarkStart w:id="9" w:name="_ftnref9"/>
      <w:bookmarkEnd w:id="9"/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"http://orka.sejm.gov.pl/proc8.nsf/ustawy/3522_u.htm" \l "_ftn9" </w:instrTex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[9]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)) w art. 7b: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1)     ust. 1–3 otrzymują brzmienie: 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„1. Podmiot posiadający tytuł prawny do korzystania z obiektu, który nie jest przyłączony do sieci ciepłowniczej lub wyposażony w indywidualne źródło ciepła, zlokalizowanego na terenie, na którym istnieją techniczne warunki dostarczania ciepła z systemu ciepłowniczego lub chłodniczego, zapewnia efektywne energetycznie wykorzystanie lokalnych zasobów paliw i energii przez przyłączenie obiektu do sieci ciepłowniczej, o ile istnieją techniczne i ekonomiczne warunki przyłączenia do sieci ciepłowniczej i dostarczania ciepła do tego obiektu z sieci ciepłowniczej. 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2. Przez system ciepłowniczy lub chłodniczy rozumie się sieć ciepłowniczą lub chłodniczą oraz współpracujące z tą siecią urządzenia lub instalacje służące do wytwarzania lub odbioru ciepła lub chłodu.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3. Obowiązku, o którym mowa w ust. 1, nie stosuje się, jeżeli: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1)     ceny ciepła stosowane przez przedsiębiorstwo energetyczne zajmujące się wytwarzaniem ciepła i dostarczające ciepło do sieci ciepłowniczej, o której mowa w ust. 1, są równe lub wyższe od obowiązującej średniej ceny sprzedaży ciepła, o której mowa w art. 23 ust. 2 pkt 18 lit. c, dla źródła ciepła zużywającego tego samego rodzaju paliwo albo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2)     planowane jest dostarczanie ciepła z indywidualnego źródła ciepła w obiekcie, które charakteryzuje się współczynnikiem nakładu nieodnawialnej energii pierwotnej nie wyższym niż 0,8 lub pompy ciepła lub ogrzewania elektrycznego.”;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2)     po ust. 3 dodaje się ust. 3a i 3b w brzmieniu: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„3a. Współczynnik nakładu nieodnawialnej energii pierwotnej, o którym mowa w ust. 3 pkt 2, określa się zgodnie z przepisami wydanymi na podstawie art. 15 ustawy z dnia 29 sierpnia 2014 r. o charakterystyce energetycznej budynków (Dz. U. z 2018 r. poz. 1984 oraz z 2019 r. poz. 730).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3b. W odniesieniu do obiektów zasilanych z więcej niż jednego indywidualnego źródła ciepła, na potrzeby określenia współczynnika nakładu nieodnawialnej energii pierwotnej, o którym mowa w ust. 3 pkt 2, dla całości ciepła dostarczanego do obiektu, stosuje się odpowiednio metodologię zawartą w przepisach wydanych na podstawie art. 29 ustawy z dnia 20 maja 2016 r. o efektywności energetycznej (Dz. U. z 2019 r. poz. 545, 1030 i 1210).”.</w:t>
      </w:r>
    </w:p>
    <w:p w:rsidR="00060690" w:rsidRPr="00060690" w:rsidRDefault="00060690" w:rsidP="00060690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Art. 5. W ustawie z dnia 15 grudnia 2000 r. o Inspekcji Handlowej (Dz. U. z 2019 r. poz. 1668) w art. 3 w ust. 1 po pkt 2d dodaje się pkt 2da w brzmieniu: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„2da)  przeprowadzanie kontroli, o której mowa w art. 168b ust. 1 ustawy z dnia 27 kwietnia 2001 r. – Prawo ochrony środowiska;”.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Art. 6. W ustawie z dnia 11 marca 2004 r. o podatku od towarów i usług (Dz. U. z 2018 r. poz. 2174, z 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>. zm.</w:t>
      </w:r>
      <w:bookmarkStart w:id="10" w:name="_ftnref10"/>
      <w:bookmarkEnd w:id="10"/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"http://orka.sejm.gov.pl/proc8.nsf/ustawy/3522_u.htm" \l "_ftn10" </w:instrTex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[10]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)) w art. 41 ust. 12a otrzymuje brzmienie: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„12a. Przez budownictwo objęte społecznym programem mieszkaniowym rozumie się obiekty budownictwa mieszkaniowego lub ich części, z wyłączeniem lokali użytkowych, lokale mieszkalne w budynkach niemieszkalnych sklasyfikowanych w Polskiej Klasyfikacji Obiektów Budowlanych w dziale 12, oraz obiekty sklasyfikowane w Polskiej Klasyfikacji Obiektów Budowlanych w klasie ex 1264 – wyłącznie budynki instytucji ochrony zdrowia świadczących usługi zakwaterowania z opieką lekarską i pielęgniarską, zwłaszcza dla ludzi starszych i niepełnosprawnych, a także 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mikroinstalację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, o której mowa w art. 2 pkt 19 ustawy z dnia 20 lutego 2015 r. o odnawialnych źródłach energii (Dz. U. z 2018 r. poz. 2389, z </w:t>
      </w:r>
      <w:proofErr w:type="spellStart"/>
      <w:r w:rsidRPr="00060690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060690">
        <w:rPr>
          <w:rFonts w:ascii="Arial" w:eastAsia="Times New Roman" w:hAnsi="Arial" w:cs="Arial"/>
          <w:sz w:val="18"/>
          <w:szCs w:val="18"/>
          <w:lang w:eastAsia="pl-PL"/>
        </w:rPr>
        <w:t>. zm.</w:t>
      </w:r>
      <w:bookmarkStart w:id="11" w:name="_ftnref11"/>
      <w:bookmarkEnd w:id="11"/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"http://orka.sejm.gov.pl/proc8.nsf/ustawy/3522_u.htm" \l "_ftn11" </w:instrTex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[11]</w:t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)) funkcjonalnie z nimi związaną, z zastrzeżeniem ust. 12b.”.</w:t>
      </w:r>
    </w:p>
    <w:p w:rsidR="00060690" w:rsidRPr="00060690" w:rsidRDefault="00060690" w:rsidP="00060690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Art. 7. Do dnia 31 grudnia 2019 r. przez kocioł na paliwo stałe o znamionowej mocy cieplnej nie większej niż 500 kW rozumie się kocioł na paliwo stałe o znamionowej mocy cieplnej nie większej niż 500 kW, w tym kocioł wchodzący w skład zestawów zawierających kocioł na paliwo stałe, ogrzewacze dodatkowe, regulatory temperatury i urządzenia słoneczne, z wyłączeniem kotła: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1)     przeznaczonego do ogrzewania i rozprowadzania gazowych nośników ciepła, takich jak para wodna lub powietrze;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2)     kogeneracyjnego na paliwo stałe o znamionowej mocy elektrycznej nie mniejszej niż 50 kW;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3)     o znamionowej mocy cieplnej większej niż 100 kW z ręcznym zasilaniem balotami słomy.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Art. 8. Kontrole, o których mowa w art. 168b ust. 1 ustawy zmienianej w art. 1, dotyczące kotłów na paliwo stałe o znamionowej mocy cieplnej nie większej niż 500 kW, o których mowa w art. 7, rozpoczęte przed dniem 1 stycznia 2020 r., są prowadzone do ich zakończenia.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Art. 9. W przypadku gdy w wyniku kontroli, o której mowa w art. 168b ust. 1 ustawy zmienianej w art. 1, zostanie stwierdzone, że kocioł na paliwo stałe o znamionowej mocy cieplnej nie większej niż 500 kW, o którym mowa w art. 7, nie odpowiada wymaganiom określonym w przepisach wydanych na podstawie art. 169 ust. 1 ustawy zmienianej w art. 1 w brzmieniu obowiązującym w dniu 31 grudnia 2019 r., przepisy działu VI tytułu V ustawy zmienianej w art. 1 stosuje się.</w:t>
      </w:r>
    </w:p>
    <w:p w:rsidR="00060690" w:rsidRPr="00060690" w:rsidRDefault="00060690" w:rsidP="00060690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Art. 10. 1. W latach 2019–2028 maksymalny limit wydatków budżetu państwa przeznaczonych na realizację zadań Prezesa Urzędu Ochrony Konkurencji i Konsumentów wynikających z ustawy wynosi 9 000 tys. zł, z tym że w roku: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1)     2019 – wynosi 900,00 tys. zł;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2)     2020 – wynosi 900,00 tys. zł;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3)     2021 – wynosi 900,00 tys. zł;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4)     2022 – wynosi 900,00 tys. zł;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5)     2023 – wynosi 900,00 tys. zł;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6)     2024 – wynosi 900,00 tys. zł;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7)     2025 – wynosi 900,00 tys. zł;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8)     2026 – wynosi 900,00 tys. zł;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9)     2027 – wynosi 900,00 tys. zł;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10)   2028 – wynosi 900,00 tys. zł.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2. Prezes Urzędu Ochrony Konkurencji i Konsumentów monitoruje wykorzystanie limitów wydatków, o których mowa w ust. 1, oraz jest odpowiedzialny za wdrożenie mechanizmu korygującego, o którym mowa w ust. 3.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3. W przypadku gdy wielkość wydatków po pierwszym półroczu danego roku budżetowego wyniesie więcej niż 65% limitu wydatków przewidzianych na dany rok, Prezes Urzędu Ochrony Konkurencji i Konsumentów obniża wielkość środków przeznaczonych na wydatki w drugim półroczu o kwotę stanowiącą różnicę między wielkością tego limitu a kwotą przekroczenia wydatków.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Art. 11. Ustawa wchodzi w życie po upływie 14 dni od dnia ogłoszenia, z wyjątkiem art. 1 pkt 3 w zakresie art. 172a pkt 1, który wchodzi w życie z dniem 1 stycznia 2020 r.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:rsidR="00060690" w:rsidRPr="00060690" w:rsidRDefault="00060690" w:rsidP="0006069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     MARSZAŁEK SEJMU</w:t>
      </w:r>
    </w:p>
    <w:p w:rsidR="00060690" w:rsidRPr="00060690" w:rsidRDefault="00060690" w:rsidP="0006069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:rsidR="00060690" w:rsidRPr="00060690" w:rsidRDefault="00060690" w:rsidP="0006069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:rsidR="00060690" w:rsidRPr="00060690" w:rsidRDefault="00060690" w:rsidP="0006069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:rsidR="00060690" w:rsidRPr="00060690" w:rsidRDefault="00060690" w:rsidP="0006069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         / – / Elżbieta Witek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 </w:t>
      </w:r>
    </w:p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:rsidR="00060690" w:rsidRPr="00060690" w:rsidRDefault="00060690" w:rsidP="00060690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br w:type="textWrapping" w:clear="all"/>
      </w:r>
    </w:p>
    <w:p w:rsidR="00060690" w:rsidRPr="00060690" w:rsidRDefault="00060690" w:rsidP="00060690">
      <w:pPr>
        <w:autoSpaceDN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60690">
        <w:rPr>
          <w:rFonts w:ascii="Arial" w:eastAsia="Times New Roman" w:hAnsi="Arial" w:cs="Arial"/>
          <w:sz w:val="18"/>
          <w:szCs w:val="18"/>
          <w:lang w:eastAsia="pl-PL"/>
        </w:rPr>
        <w:pict>
          <v:rect id="_x0000_i1025" style="width:149.7pt;height:.75pt" o:hrpct="330" o:hrstd="t" o:hr="t" fillcolor="#a0a0a0" stroked="f"/>
        </w:pict>
      </w:r>
    </w:p>
    <w:bookmarkStart w:id="12" w:name="_ftn1"/>
    <w:bookmarkEnd w:id="12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"_ftnref1"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[1]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    Niniejszą ustawą zmienia się: ustawę z dnia 26 lipca 1991 r. o podatku dochodowym od osób fizycznych, ustawę z dnia 7 lipca 1994 r. – Prawo budowlane, ustawę z dnia 10 kwietnia 1997 r. – Prawo energetyczne, ustawę z dnia 15 grudnia 2000 r. o Inspekcji Handlowej oraz ustawę z dnia 11 marca 2004 r. o podatku od towarów i usług.</w:t>
      </w:r>
    </w:p>
    <w:bookmarkStart w:id="13" w:name="_ftn2"/>
    <w:bookmarkEnd w:id="13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"_ftnref2"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[2]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    Niniejsza ustawa została notyfikowana Komisji Europejskiej w dniu 27 maja 2019 r. pod numerem 2019/257/PL, zgodnie z § 4 rozporządzenia Rady Ministrów z dnia 23 grudnia 2002 r. w sprawie sposobu funkcjonowania krajowego systemu notyfikacji norm i aktów prawnych (Dz. U. poz. 2039 oraz z 2004 r. poz. 597), które wdraża dyrektywę (UE) 2015/1535 Parlamentu Europejskiego i Rady z dnia 9 września 2015 r. ustanawiającą procedurę udzielania informacji w dziedzinie przepisów technicznych oraz zasad dotyczących usług społeczeństwa informacyjnego (Dz. Urz. UE L 241 z 17.09.2015, str. 1).</w:t>
      </w:r>
    </w:p>
    <w:bookmarkStart w:id="14" w:name="_ftn3"/>
    <w:bookmarkEnd w:id="14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"_ftnref3"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[3]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    Zmiany tekstu jednolitego wymienionej ustawy zostały ogłoszone w Dz. U. z 2019 r. poz. 1403, 1495, 1501, 1527, 1579, 1680 i 1712.</w:t>
      </w:r>
    </w:p>
    <w:bookmarkStart w:id="15" w:name="_ftn4"/>
    <w:bookmarkEnd w:id="15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"_ftnref4"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[4]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    Zmiany wymienionego rozporządzenia zostały ogłoszone w Dz. Urz. UE L 346 z 20.12.2016, str. 51.</w:t>
      </w:r>
    </w:p>
    <w:bookmarkStart w:id="16" w:name="_ftn5"/>
    <w:bookmarkEnd w:id="16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"_ftnref5"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[5]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    Zmiany tekstu jednolitego wymienionej ustawy zostały ogłoszone w Dz. U. z 2019 r. poz. 1358, 1394, 1495, 1622, 1649, 1655 i 1726.</w:t>
      </w:r>
    </w:p>
    <w:bookmarkStart w:id="17" w:name="_ftn6"/>
    <w:bookmarkEnd w:id="17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"_ftnref6"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[6]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    Zmiany tekstu jednolitego wymienionej ustawy zostały ogłoszone w Dz. U. z 2019 r. poz. 1403, 1495, 1501, 1527, 1579, 1680 i 1712.</w:t>
      </w:r>
    </w:p>
    <w:bookmarkStart w:id="18" w:name="_ftn7"/>
    <w:bookmarkEnd w:id="18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"_ftnref7"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[7]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    Zmiany tekstu jednolitego wymienionej ustawy zostały ogłoszone w Dz. U. z 2019 r. poz. 730, 1435, 1495, 1517, 1520, 1524 i 1556.</w:t>
      </w:r>
    </w:p>
    <w:bookmarkStart w:id="19" w:name="_ftn8"/>
    <w:bookmarkEnd w:id="19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"_ftnref8"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[8]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 xml:space="preserve">)    Zmiany tekstu jednolitego wymienionej ustawy zostały ogłoszone w Dz. U. z 2018 r. poz. 2077 oraz z 2019 r. poz. 730, 858, 870, 1135 i 1579. </w:t>
      </w:r>
    </w:p>
    <w:bookmarkStart w:id="20" w:name="_ftn9"/>
    <w:bookmarkEnd w:id="20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"_ftnref9"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[9]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    Zmiany tekstu jednolitego wymienionej ustawy zostały ogłoszone w Dz. U. z 2019 r. poz. 730, 1435, 1495, 1517, 1520, 1524 i 1556.</w:t>
      </w:r>
    </w:p>
    <w:bookmarkStart w:id="21" w:name="_ftn10"/>
    <w:bookmarkEnd w:id="21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"_ftnref10"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[10]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  Zmiany tekstu jednolitego wymienionej ustawy zostały ogłoszone w Dz. U. z 2018 r. poz. 2193, 2215, 2244, 2354, 2392 i 2433 oraz z 2019 r. poz. 675, 1018, 1495 i 1520.</w:t>
      </w:r>
    </w:p>
    <w:bookmarkStart w:id="22" w:name="_ftn11"/>
    <w:bookmarkEnd w:id="22"/>
    <w:p w:rsidR="00060690" w:rsidRPr="00060690" w:rsidRDefault="00060690" w:rsidP="0006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"http://orka.sejm.gov.pl/proc8.nsf/ustawy/3522_u.htm" \l "_ftnref11" </w:instrTex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0690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[11]</w:t>
      </w:r>
      <w:r w:rsidRPr="000606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0690">
        <w:rPr>
          <w:rFonts w:ascii="Arial" w:eastAsia="Times New Roman" w:hAnsi="Arial" w:cs="Arial"/>
          <w:sz w:val="18"/>
          <w:szCs w:val="18"/>
          <w:lang w:eastAsia="pl-PL"/>
        </w:rPr>
        <w:t>)  Zmiany tekstu jednolitego wymienionej ustawy zostały ogłoszone w Dz. U. z 2018 r. poz. 2245 oraz z 2019 r. poz. 42, 60, 730, 1495 i 1524.</w:t>
      </w:r>
    </w:p>
    <w:p w:rsidR="00C90F8D" w:rsidRDefault="00060690"/>
    <w:sectPr w:rsidR="00C9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90"/>
    <w:rsid w:val="00060690"/>
    <w:rsid w:val="000A7E0F"/>
    <w:rsid w:val="00F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1B1E"/>
  <w15:chartTrackingRefBased/>
  <w15:docId w15:val="{D9230663-61AD-4EDE-8B3B-E2FF15B8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gpindeksgrnyipogrubienie">
    <w:name w:val="igpindeksgrnyipogrubienie"/>
    <w:basedOn w:val="Domylnaczcionkaakapitu"/>
    <w:rsid w:val="00060690"/>
  </w:style>
  <w:style w:type="character" w:styleId="Odwoanieprzypisudolnego">
    <w:name w:val="footnote reference"/>
    <w:basedOn w:val="Domylnaczcionkaakapitu"/>
    <w:uiPriority w:val="99"/>
    <w:semiHidden/>
    <w:unhideWhenUsed/>
    <w:rsid w:val="00060690"/>
  </w:style>
  <w:style w:type="paragraph" w:customStyle="1" w:styleId="artartustawynprozporzdzenia">
    <w:name w:val="artartustawynprozporzdzenia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060690"/>
  </w:style>
  <w:style w:type="character" w:customStyle="1" w:styleId="igindeksgrny">
    <w:name w:val="igindeksgrny"/>
    <w:basedOn w:val="Domylnaczcionkaakapitu"/>
    <w:rsid w:val="00060690"/>
  </w:style>
  <w:style w:type="paragraph" w:customStyle="1" w:styleId="pktpunkt">
    <w:name w:val="pktpunkt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ytdzoznzmozntytuudziauartykuempunktem">
    <w:name w:val="ztytdzoznzmozntytuudziauartykuempunktem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ytdzprzedmzmprzedmtytuulubdziauartykuempunktem">
    <w:name w:val="ztytdzprzedmzmprzedmtytuulubdziauartykuempunktem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niktreodnonika"/>
    <w:basedOn w:val="Normalny"/>
    <w:rsid w:val="0006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beata.klimczak</dc:creator>
  <cp:keywords/>
  <dc:description/>
  <cp:lastModifiedBy>beata.klimczak</cp:lastModifiedBy>
  <cp:revision>1</cp:revision>
  <dcterms:created xsi:type="dcterms:W3CDTF">2019-09-13T10:46:00Z</dcterms:created>
  <dcterms:modified xsi:type="dcterms:W3CDTF">2019-09-13T10:47:00Z</dcterms:modified>
</cp:coreProperties>
</file>