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0679" w:rsidRDefault="001658A8" w:rsidP="00E44C06">
      <w:pPr>
        <w:widowControl w:val="0"/>
        <w:rPr>
          <w:rFonts w:asciiTheme="minorHAnsi" w:hAnsiTheme="minorHAnsi"/>
          <w:i/>
          <w:sz w:val="18"/>
          <w:szCs w:val="18"/>
        </w:rPr>
      </w:pPr>
      <w:r w:rsidRPr="001658A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04A3" wp14:editId="41B06A7B">
                <wp:simplePos x="0" y="0"/>
                <wp:positionH relativeFrom="margin">
                  <wp:align>right</wp:align>
                </wp:positionH>
                <wp:positionV relativeFrom="paragraph">
                  <wp:posOffset>-563364</wp:posOffset>
                </wp:positionV>
                <wp:extent cx="5736566" cy="526838"/>
                <wp:effectExtent l="0" t="0" r="17145" b="26035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66" cy="526838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8A8" w:rsidRDefault="001658A8" w:rsidP="001658A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374D6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riorytetowy </w:t>
                            </w:r>
                            <w:r w:rsidR="00374D6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NFOŚiGW </w:t>
                            </w:r>
                            <w:r w:rsidRPr="00C54ECB">
                              <w:rPr>
                                <w:rFonts w:asciiTheme="minorHAnsi" w:hAnsi="Calibri" w:cstheme="minorBidi"/>
                                <w:b/>
                                <w:i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Energia Plus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004A3" id="Prostokąt zaokrąglony 16" o:spid="_x0000_s1026" style="position:absolute;margin-left:400.5pt;margin-top:-44.35pt;width:451.7pt;height:4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" fillcolor="#0070c0" strokecolor="#243f60 [1604]" strokeweight="2pt">
                <v:textbox>
                  <w:txbxContent>
                    <w:p w:rsidR="001658A8" w:rsidRDefault="001658A8" w:rsidP="001658A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Program </w:t>
                      </w:r>
                      <w:r w:rsidR="00374D6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riorytetowy </w:t>
                      </w:r>
                      <w:r w:rsidR="00374D68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NFOŚiGW </w:t>
                      </w:r>
                      <w:r w:rsidRPr="00C54ECB">
                        <w:rPr>
                          <w:rFonts w:asciiTheme="minorHAnsi" w:hAnsi="Calibri" w:cstheme="minorBidi"/>
                          <w:b/>
                          <w:i/>
                          <w:color w:val="FFFFFF" w:themeColor="light1"/>
                          <w:kern w:val="24"/>
                          <w:sz w:val="28"/>
                          <w:szCs w:val="28"/>
                        </w:rPr>
                        <w:t>Energia Plus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/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5757922" cy="2639683"/>
            <wp:effectExtent l="0" t="0" r="0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626" cy="264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31450</wp:posOffset>
            </wp:positionH>
            <wp:positionV relativeFrom="paragraph">
              <wp:posOffset>8698</wp:posOffset>
            </wp:positionV>
            <wp:extent cx="5760720" cy="310033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10795</wp:posOffset>
            </wp:positionV>
            <wp:extent cx="5736781" cy="3347049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81" cy="3347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BD6081" w:rsidRDefault="00BD6081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 w:rsidP="00BD6081">
      <w:pPr>
        <w:rPr>
          <w:rFonts w:asciiTheme="minorHAnsi" w:hAnsiTheme="minorHAnsi"/>
          <w:sz w:val="16"/>
          <w:szCs w:val="24"/>
        </w:rPr>
      </w:pPr>
    </w:p>
    <w:p w:rsidR="005E32ED" w:rsidRDefault="005E32ED">
      <w:pPr>
        <w:rPr>
          <w:rFonts w:asciiTheme="minorHAnsi" w:hAnsiTheme="minorHAnsi"/>
          <w:sz w:val="16"/>
          <w:szCs w:val="24"/>
        </w:rPr>
      </w:pPr>
      <w:r>
        <w:rPr>
          <w:rFonts w:asciiTheme="minorHAnsi" w:hAnsiTheme="minorHAnsi"/>
          <w:sz w:val="16"/>
          <w:szCs w:val="24"/>
        </w:rPr>
        <w:br w:type="page"/>
      </w:r>
    </w:p>
    <w:p w:rsidR="005E32ED" w:rsidRPr="003E595C" w:rsidRDefault="005E32ED" w:rsidP="005E32ED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3E595C">
        <w:rPr>
          <w:rFonts w:asciiTheme="minorHAnsi" w:hAnsiTheme="minorHAnsi"/>
          <w:b/>
        </w:rPr>
        <w:lastRenderedPageBreak/>
        <w:t>Informacje ogólne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 xml:space="preserve">Program priorytetowy </w:t>
      </w:r>
      <w:r w:rsidRPr="003E595C">
        <w:rPr>
          <w:rFonts w:asciiTheme="minorHAnsi" w:hAnsiTheme="minorHAnsi"/>
          <w:i/>
          <w:sz w:val="22"/>
          <w:szCs w:val="22"/>
        </w:rPr>
        <w:t>Energia Plus</w:t>
      </w:r>
      <w:r w:rsidRPr="003E595C">
        <w:rPr>
          <w:rFonts w:asciiTheme="minorHAnsi" w:hAnsiTheme="minorHAnsi"/>
          <w:sz w:val="22"/>
          <w:szCs w:val="22"/>
        </w:rPr>
        <w:t xml:space="preserve"> stanowi bezpośrednią kontynuację programu priorytetowego </w:t>
      </w:r>
      <w:r w:rsidRPr="003E595C">
        <w:rPr>
          <w:rFonts w:asciiTheme="minorHAnsi" w:hAnsiTheme="minorHAnsi"/>
          <w:i/>
          <w:sz w:val="22"/>
          <w:szCs w:val="22"/>
        </w:rPr>
        <w:t>Wsparcie przedsiębiorców w zakresie niskoemisyjnej i zasobooszczędnej gospodarki</w:t>
      </w:r>
      <w:r w:rsidRPr="003E595C">
        <w:rPr>
          <w:rFonts w:asciiTheme="minorHAnsi" w:hAnsiTheme="minorHAnsi"/>
          <w:sz w:val="22"/>
          <w:szCs w:val="22"/>
        </w:rPr>
        <w:t>, który od 2015 r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E595C">
        <w:rPr>
          <w:rFonts w:asciiTheme="minorHAnsi" w:hAnsiTheme="minorHAnsi"/>
          <w:sz w:val="22"/>
          <w:szCs w:val="22"/>
        </w:rPr>
        <w:t xml:space="preserve">dofinansował przedsięwzięcia ekologiczne związane z ograniczaniem negatywnego wpływu polskich przedsiębiorstw na środowisko kwotą prawie 3 miliardów złotych, a także kontynuację programu priorytetowego </w:t>
      </w:r>
      <w:r w:rsidRPr="003E595C">
        <w:rPr>
          <w:rFonts w:asciiTheme="minorHAnsi" w:hAnsiTheme="minorHAnsi"/>
          <w:i/>
          <w:sz w:val="22"/>
          <w:szCs w:val="22"/>
        </w:rPr>
        <w:t>Poprawa jakości powietrza</w:t>
      </w:r>
      <w:r>
        <w:rPr>
          <w:rFonts w:asciiTheme="minorHAnsi" w:hAnsiTheme="minorHAnsi"/>
          <w:sz w:val="22"/>
          <w:szCs w:val="22"/>
        </w:rPr>
        <w:t>, C</w:t>
      </w:r>
      <w:r w:rsidRPr="003E595C">
        <w:rPr>
          <w:rFonts w:asciiTheme="minorHAnsi" w:hAnsiTheme="minorHAnsi"/>
          <w:sz w:val="22"/>
          <w:szCs w:val="22"/>
        </w:rPr>
        <w:t xml:space="preserve">zęść 1) </w:t>
      </w:r>
      <w:r w:rsidRPr="003E595C">
        <w:rPr>
          <w:rFonts w:asciiTheme="minorHAnsi" w:eastAsia="Calibri" w:hAnsiTheme="minorHAnsi"/>
          <w:i/>
          <w:sz w:val="22"/>
          <w:szCs w:val="22"/>
          <w:lang w:eastAsia="en-US"/>
        </w:rPr>
        <w:t>Energetyczne wykorzystanie zasobów geotermalnych</w:t>
      </w:r>
      <w:r w:rsidRPr="003E595C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Pr="003E595C">
        <w:rPr>
          <w:rFonts w:asciiTheme="minorHAnsi" w:hAnsiTheme="minorHAnsi"/>
          <w:sz w:val="22"/>
          <w:szCs w:val="22"/>
        </w:rPr>
        <w:t xml:space="preserve">Nowy </w:t>
      </w:r>
      <w:r>
        <w:rPr>
          <w:rFonts w:asciiTheme="minorHAnsi" w:hAnsiTheme="minorHAnsi"/>
          <w:sz w:val="22"/>
          <w:szCs w:val="22"/>
        </w:rPr>
        <w:t>p</w:t>
      </w:r>
      <w:r w:rsidRPr="003E595C">
        <w:rPr>
          <w:rFonts w:asciiTheme="minorHAnsi" w:hAnsiTheme="minorHAnsi"/>
          <w:sz w:val="22"/>
          <w:szCs w:val="22"/>
        </w:rPr>
        <w:t xml:space="preserve">rogram to konsolidacja kilku części i zakresów, tak aby oferta była bardziej czytelna i dostosowana do potrzeb </w:t>
      </w:r>
      <w:r>
        <w:rPr>
          <w:rFonts w:asciiTheme="minorHAnsi" w:hAnsiTheme="minorHAnsi"/>
          <w:sz w:val="22"/>
          <w:szCs w:val="22"/>
        </w:rPr>
        <w:t>b</w:t>
      </w:r>
      <w:r w:rsidRPr="003E595C">
        <w:rPr>
          <w:rFonts w:asciiTheme="minorHAnsi" w:hAnsiTheme="minorHAnsi"/>
          <w:sz w:val="22"/>
          <w:szCs w:val="22"/>
        </w:rPr>
        <w:t xml:space="preserve">eneficjentów.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>Program stanowi kompleksowy instrument wsparcia odpowiadający zidentyfikowanym potrzebom rynkowym polskiego przemysłu, wynikającym z przepisów prawa, zaostrzających się norm emisyjnych oraz ogólnych potrzeb związanych z rozwojem działalności biznesowej z poszanowaniem zasad zrównoważonego rozwoju.</w:t>
      </w:r>
    </w:p>
    <w:p w:rsidR="005E32ED" w:rsidRPr="003E595C" w:rsidRDefault="005E32ED" w:rsidP="005E32ED">
      <w:pPr>
        <w:widowControl w:val="0"/>
        <w:jc w:val="both"/>
        <w:rPr>
          <w:rFonts w:asciiTheme="minorHAnsi" w:hAnsiTheme="minorHAnsi"/>
          <w:i/>
          <w:sz w:val="22"/>
          <w:szCs w:val="22"/>
        </w:rPr>
      </w:pPr>
    </w:p>
    <w:p w:rsidR="005E32ED" w:rsidRPr="003E595C" w:rsidRDefault="005E32ED" w:rsidP="005E32ED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3E595C">
        <w:rPr>
          <w:rFonts w:asciiTheme="minorHAnsi" w:hAnsiTheme="minorHAnsi"/>
          <w:b/>
        </w:rPr>
        <w:t>Zakres wsparcia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3E595C">
        <w:rPr>
          <w:rFonts w:asciiTheme="minorHAnsi" w:hAnsiTheme="minorHAnsi"/>
          <w:bCs/>
          <w:sz w:val="22"/>
          <w:szCs w:val="22"/>
        </w:rPr>
        <w:t xml:space="preserve">Program </w:t>
      </w:r>
      <w:r w:rsidRPr="003E595C">
        <w:rPr>
          <w:rFonts w:asciiTheme="minorHAnsi" w:hAnsiTheme="minorHAnsi"/>
          <w:bCs/>
          <w:i/>
          <w:sz w:val="22"/>
          <w:szCs w:val="22"/>
        </w:rPr>
        <w:t>Energia Plus</w:t>
      </w:r>
      <w:r w:rsidRPr="003E595C">
        <w:rPr>
          <w:rFonts w:asciiTheme="minorHAnsi" w:hAnsiTheme="minorHAnsi"/>
          <w:bCs/>
          <w:sz w:val="22"/>
          <w:szCs w:val="22"/>
        </w:rPr>
        <w:t xml:space="preserve"> oferuje wsparcie dla przedsięwzięć z zakresu: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bCs/>
          <w:sz w:val="22"/>
          <w:szCs w:val="22"/>
        </w:rPr>
        <w:t xml:space="preserve">ograniczenia lub uniknięcia szkodliwych emisji do atmosfery (zarówno związanych ze źródłami spalania paliw jak i pozostałej działalności przemysłowej);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bCs/>
          <w:sz w:val="22"/>
          <w:szCs w:val="22"/>
        </w:rPr>
        <w:t>zmniejszenia zużycia surowców pierwotnych;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color w:val="000000"/>
          <w:sz w:val="22"/>
          <w:szCs w:val="22"/>
        </w:rPr>
        <w:t xml:space="preserve">przedsięwzięć mających na celu poprawę efektywności energetycznej;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>nowych źródeł ciepła i energii elektrycznej;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modernizacji/</w:t>
      </w:r>
      <w:r w:rsidRPr="003E595C">
        <w:rPr>
          <w:rFonts w:asciiTheme="minorHAnsi" w:hAnsiTheme="minorHAnsi"/>
          <w:sz w:val="22"/>
          <w:szCs w:val="22"/>
        </w:rPr>
        <w:t xml:space="preserve">rozbudowy sieci ciepłowniczych;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 xml:space="preserve">energetycznego wykorzystania zasobów geotermalnych. </w:t>
      </w:r>
    </w:p>
    <w:p w:rsidR="005E32ED" w:rsidRPr="003E595C" w:rsidRDefault="005E32ED" w:rsidP="005E32ED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5E32ED" w:rsidRPr="003E595C" w:rsidRDefault="005E32ED" w:rsidP="005E32ED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3E595C">
        <w:rPr>
          <w:rFonts w:asciiTheme="minorHAnsi" w:hAnsiTheme="minorHAnsi"/>
          <w:b/>
        </w:rPr>
        <w:t>Uwarunkowania</w:t>
      </w:r>
    </w:p>
    <w:p w:rsidR="005E32ED" w:rsidRPr="003E595C" w:rsidRDefault="005E32ED" w:rsidP="005E32ED">
      <w:pPr>
        <w:pStyle w:val="Tekstpodstawowywcity2"/>
        <w:widowControl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>Silne uwarunkowania dla wdrażania</w:t>
      </w:r>
      <w:r>
        <w:rPr>
          <w:rFonts w:asciiTheme="minorHAnsi" w:hAnsiTheme="minorHAnsi"/>
          <w:sz w:val="22"/>
          <w:szCs w:val="22"/>
        </w:rPr>
        <w:t xml:space="preserve"> p</w:t>
      </w:r>
      <w:r w:rsidRPr="003E595C">
        <w:rPr>
          <w:rFonts w:asciiTheme="minorHAnsi" w:hAnsiTheme="minorHAnsi"/>
          <w:sz w:val="22"/>
          <w:szCs w:val="22"/>
        </w:rPr>
        <w:t>rogramu stanowi obowiązujące otoczenie prawne w zakresie energetyki oraz ochrony środowiska w tym zarówno unijny pakiet klimatyczno-energetyczny na rok 2020 jak również stopniowo w</w:t>
      </w:r>
      <w:r>
        <w:rPr>
          <w:rFonts w:asciiTheme="minorHAnsi" w:hAnsiTheme="minorHAnsi"/>
          <w:sz w:val="22"/>
          <w:szCs w:val="22"/>
        </w:rPr>
        <w:t>drażany przez Komisję Europejską</w:t>
      </w:r>
      <w:r w:rsidRPr="003E595C">
        <w:rPr>
          <w:rFonts w:asciiTheme="minorHAnsi" w:hAnsiTheme="minorHAnsi"/>
          <w:sz w:val="22"/>
          <w:szCs w:val="22"/>
        </w:rPr>
        <w:t xml:space="preserve"> tzw. „Pakiet zimowy”, a więc dokumenty wyznaczające m.in. cele w zakresie ograniczania emisji, poprawy efektywności energetycznej i OZE w horyzoncie do 2030 r. W kontekście polskiego przemysłu, a zwłaszcza sektora ciepłowniczego i energetyki, kluczowe są zobowiązania wynikające z Dyrektywy w sprawie emisji przemysłowych (tzw. Dyrektywa IED)</w:t>
      </w:r>
      <w:r w:rsidRPr="003E595C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3E595C">
        <w:rPr>
          <w:rFonts w:asciiTheme="minorHAnsi" w:hAnsiTheme="minorHAnsi"/>
          <w:sz w:val="22"/>
          <w:szCs w:val="22"/>
        </w:rPr>
        <w:t xml:space="preserve"> oraz standardy emisyjne wynikające z Dyrektywy o średnich obiektach energetycznego spalania (tzw. Dyrektywa MCP)</w:t>
      </w:r>
      <w:r w:rsidRPr="003E595C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3E595C">
        <w:rPr>
          <w:rFonts w:asciiTheme="minorHAnsi" w:hAnsiTheme="minorHAnsi"/>
          <w:sz w:val="22"/>
          <w:szCs w:val="22"/>
        </w:rPr>
        <w:t xml:space="preserve">. </w:t>
      </w:r>
    </w:p>
    <w:p w:rsidR="005E32ED" w:rsidRPr="003E595C" w:rsidRDefault="005E32ED" w:rsidP="005E32ED">
      <w:pPr>
        <w:pStyle w:val="Tekstpodstawowywcity2"/>
        <w:widowControl w:val="0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sz w:val="22"/>
          <w:szCs w:val="22"/>
        </w:rPr>
        <w:t>Program jest spójny ze Strategią działania NFOŚiGW, a także stanowi odpowiedź na zalecenia Zarządu NFOŚGW dotyczące konsolidac</w:t>
      </w:r>
      <w:r>
        <w:rPr>
          <w:rFonts w:asciiTheme="minorHAnsi" w:hAnsiTheme="minorHAnsi"/>
          <w:sz w:val="22"/>
          <w:szCs w:val="22"/>
        </w:rPr>
        <w:t xml:space="preserve">ji oferty finansowej Funduszu. </w:t>
      </w:r>
      <w:r w:rsidRPr="003E595C">
        <w:rPr>
          <w:rFonts w:asciiTheme="minorHAnsi" w:hAnsiTheme="minorHAnsi"/>
          <w:sz w:val="22"/>
          <w:szCs w:val="22"/>
        </w:rPr>
        <w:t xml:space="preserve">Zakres tematyczny skonsolidowanego, programu priorytetowego </w:t>
      </w:r>
      <w:r w:rsidRPr="003E595C">
        <w:rPr>
          <w:rFonts w:asciiTheme="minorHAnsi" w:hAnsiTheme="minorHAnsi"/>
          <w:i/>
          <w:sz w:val="22"/>
          <w:szCs w:val="22"/>
        </w:rPr>
        <w:t>Energia Plus</w:t>
      </w:r>
      <w:r w:rsidRPr="003E595C">
        <w:rPr>
          <w:rFonts w:asciiTheme="minorHAnsi" w:hAnsiTheme="minorHAnsi"/>
          <w:sz w:val="22"/>
          <w:szCs w:val="22"/>
        </w:rPr>
        <w:t xml:space="preserve"> konsumuje dotychczasowy zakres programu priorytetowego </w:t>
      </w:r>
      <w:r w:rsidRPr="003E595C">
        <w:rPr>
          <w:rFonts w:asciiTheme="minorHAnsi" w:hAnsiTheme="minorHAnsi"/>
          <w:i/>
          <w:sz w:val="22"/>
          <w:szCs w:val="22"/>
        </w:rPr>
        <w:t>Wsparcie przedsiębiorców w zakresie niskoemisyjnej i zasobooszczędnej gospodarki</w:t>
      </w:r>
      <w:r w:rsidRPr="003E595C">
        <w:rPr>
          <w:rFonts w:asciiTheme="minorHAnsi" w:hAnsiTheme="minorHAnsi"/>
          <w:sz w:val="22"/>
          <w:szCs w:val="22"/>
        </w:rPr>
        <w:t xml:space="preserve"> (za wyjątkiem współfinansowania POIiŚ 2014-2020), zakres dotyczący energetycznego wykorzystania zasobów geotermalnych (program priorytetowy </w:t>
      </w:r>
      <w:r w:rsidRPr="003E595C">
        <w:rPr>
          <w:rFonts w:asciiTheme="minorHAnsi" w:hAnsiTheme="minorHAnsi"/>
          <w:i/>
          <w:sz w:val="22"/>
          <w:szCs w:val="22"/>
        </w:rPr>
        <w:t>Poprawa jakości powietrza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3E595C">
        <w:rPr>
          <w:rFonts w:asciiTheme="minorHAnsi" w:hAnsiTheme="minorHAnsi"/>
          <w:sz w:val="22"/>
          <w:szCs w:val="22"/>
        </w:rPr>
        <w:t>Część 1) oraz nowe zakresy dotyczące modernizacji sieci ciepłowniczych i indywidualnych źródeł energii oraz systemów jej magazynowania.</w:t>
      </w:r>
    </w:p>
    <w:p w:rsidR="005E32ED" w:rsidRPr="003E595C" w:rsidRDefault="005E32ED" w:rsidP="005E32ED">
      <w:pPr>
        <w:rPr>
          <w:rFonts w:asciiTheme="minorHAnsi" w:hAnsiTheme="minorHAnsi"/>
          <w:sz w:val="22"/>
          <w:szCs w:val="22"/>
        </w:rPr>
      </w:pPr>
    </w:p>
    <w:p w:rsidR="005E32ED" w:rsidRPr="003E595C" w:rsidRDefault="005E32ED" w:rsidP="005E32ED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Założenia p</w:t>
      </w:r>
      <w:r w:rsidRPr="003E595C">
        <w:rPr>
          <w:rFonts w:asciiTheme="minorHAnsi" w:hAnsiTheme="minorHAnsi"/>
          <w:b/>
        </w:rPr>
        <w:t xml:space="preserve">rogramu </w:t>
      </w:r>
    </w:p>
    <w:p w:rsidR="005E32ED" w:rsidRPr="00EE0CC4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E0CC4">
        <w:rPr>
          <w:rFonts w:asciiTheme="minorHAnsi" w:hAnsiTheme="minorHAnsi"/>
          <w:b/>
          <w:sz w:val="22"/>
          <w:szCs w:val="22"/>
        </w:rPr>
        <w:lastRenderedPageBreak/>
        <w:t xml:space="preserve">Beneficjenci: przedsiębiorcy </w:t>
      </w:r>
    </w:p>
    <w:p w:rsidR="005E32ED" w:rsidRPr="00EE0CC4" w:rsidRDefault="005E32ED" w:rsidP="005E32ED">
      <w:pPr>
        <w:jc w:val="both"/>
        <w:rPr>
          <w:rFonts w:asciiTheme="minorHAnsi" w:hAnsiTheme="minorHAnsi"/>
          <w:b/>
          <w:sz w:val="22"/>
          <w:szCs w:val="22"/>
        </w:rPr>
      </w:pPr>
    </w:p>
    <w:p w:rsidR="005E32ED" w:rsidRPr="00EE0CC4" w:rsidRDefault="005E32ED" w:rsidP="005E32ED">
      <w:pPr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E0CC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Całkowity budżet programu: 4 miliardy złotych </w:t>
      </w:r>
    </w:p>
    <w:p w:rsidR="005E32ED" w:rsidRPr="003E595C" w:rsidRDefault="005E32ED" w:rsidP="005E32ED">
      <w:pPr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5E32ED" w:rsidRPr="003E595C" w:rsidRDefault="005E32ED" w:rsidP="005E32ED">
      <w:pPr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E0CC4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Formy finansowania: </w:t>
      </w:r>
      <w:r w:rsidRPr="003E595C">
        <w:rPr>
          <w:rFonts w:asciiTheme="minorHAnsi" w:eastAsia="Calibri" w:hAnsiTheme="minorHAnsi"/>
          <w:b/>
          <w:sz w:val="22"/>
          <w:szCs w:val="22"/>
          <w:lang w:eastAsia="en-US"/>
        </w:rPr>
        <w:t>pożyczki preferencyjne</w:t>
      </w:r>
      <w:r w:rsidRPr="003E595C">
        <w:rPr>
          <w:rFonts w:asciiTheme="minorHAnsi" w:eastAsia="Calibri" w:hAnsiTheme="minorHAnsi"/>
          <w:sz w:val="22"/>
          <w:szCs w:val="22"/>
          <w:lang w:eastAsia="en-US"/>
        </w:rPr>
        <w:t xml:space="preserve"> (w szczególnych przypadkach z możliwością umorzenia) oraz </w:t>
      </w:r>
      <w:r w:rsidRPr="003E595C">
        <w:rPr>
          <w:rFonts w:asciiTheme="minorHAnsi" w:eastAsia="Calibri" w:hAnsiTheme="minorHAnsi"/>
          <w:b/>
          <w:sz w:val="22"/>
          <w:szCs w:val="22"/>
          <w:lang w:eastAsia="en-US"/>
        </w:rPr>
        <w:t>pożyczki na zasadach rynkowych</w:t>
      </w:r>
      <w:r w:rsidRPr="00EE0CC4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  <w:r w:rsidRPr="003E595C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dotacje </w:t>
      </w:r>
      <w:r w:rsidRPr="00E246A4">
        <w:rPr>
          <w:rFonts w:asciiTheme="minorHAnsi" w:eastAsia="Calibri" w:hAnsiTheme="minorHAnsi"/>
          <w:sz w:val="22"/>
          <w:szCs w:val="22"/>
          <w:lang w:eastAsia="en-US"/>
        </w:rPr>
        <w:t>– tylko dla technologii ORC.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b/>
          <w:sz w:val="22"/>
          <w:szCs w:val="22"/>
        </w:rPr>
        <w:t>Warunki finansowania:</w:t>
      </w:r>
      <w:r w:rsidRPr="003E595C">
        <w:rPr>
          <w:rFonts w:asciiTheme="minorHAnsi" w:hAnsiTheme="minorHAnsi"/>
          <w:sz w:val="22"/>
          <w:szCs w:val="22"/>
        </w:rPr>
        <w:t xml:space="preserve"> Zakres, forma oraz zasady finansowania zostały zróżnicowane i dostosowane do charakteru wspieranych typów przedsięwzięć oraz rea</w:t>
      </w:r>
      <w:r>
        <w:rPr>
          <w:rFonts w:asciiTheme="minorHAnsi" w:hAnsiTheme="minorHAnsi"/>
          <w:sz w:val="22"/>
          <w:szCs w:val="22"/>
        </w:rPr>
        <w:t>lnych warunków i potrzeb rynku.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 xml:space="preserve">pożyczki preferencyjne: od 1 do 300 mln zł z oprocentowaniem na poziomie WIBOR 3M + 50 pb, (nie mniej niż 2 </w:t>
      </w:r>
      <w:r w:rsidRPr="003E595C">
        <w:rPr>
          <w:rFonts w:asciiTheme="minorHAnsi" w:hAnsiTheme="minorHAnsi"/>
          <w:bCs/>
          <w:sz w:val="22"/>
          <w:szCs w:val="22"/>
        </w:rPr>
        <w:t>%</w:t>
      </w:r>
      <w:r w:rsidRPr="003E59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E595C">
        <w:rPr>
          <w:rFonts w:asciiTheme="minorHAnsi" w:hAnsiTheme="minorHAnsi"/>
          <w:sz w:val="22"/>
          <w:szCs w:val="22"/>
        </w:rPr>
        <w:t>w skali roku). Oferowane pożyczki mogą być częściowo umorzone (maksymalnie 10% udzielonej pożyczki do 1 miliona zł) dla przedsięwzięć z zakresu zmniejszenie zużycia surowców pierwotnych oraz ograniczenie lub uniknięcie szkodliwych emisji do atmosfery dla źródeł spalania paliw o mocach 1 MW – 50 MW</w:t>
      </w:r>
      <w:r>
        <w:rPr>
          <w:rFonts w:asciiTheme="minorHAnsi" w:hAnsiTheme="minorHAnsi"/>
          <w:sz w:val="22"/>
          <w:szCs w:val="22"/>
        </w:rPr>
        <w:t>;</w:t>
      </w:r>
    </w:p>
    <w:p w:rsidR="005E32ED" w:rsidRPr="003E595C" w:rsidRDefault="005E32ED" w:rsidP="005E32ED">
      <w:pPr>
        <w:pStyle w:val="Default"/>
        <w:widowControl w:val="0"/>
        <w:spacing w:before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okres finansowania – pożyczka może być udzielona na okres nie dłuższy </w:t>
      </w:r>
      <w:r w:rsidRPr="003E595C">
        <w:rPr>
          <w:rFonts w:asciiTheme="minorHAnsi" w:hAnsiTheme="minorHAnsi"/>
          <w:b/>
          <w:color w:val="auto"/>
          <w:sz w:val="22"/>
          <w:szCs w:val="22"/>
        </w:rPr>
        <w:t xml:space="preserve">niż </w:t>
      </w:r>
      <w:r w:rsidRPr="003E595C">
        <w:rPr>
          <w:rFonts w:asciiTheme="minorHAnsi" w:hAnsiTheme="minorHAnsi"/>
          <w:b/>
          <w:color w:val="000000" w:themeColor="text1"/>
          <w:sz w:val="22"/>
          <w:szCs w:val="22"/>
        </w:rPr>
        <w:t>15 lat</w:t>
      </w:r>
      <w:r w:rsidRPr="003E595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(lub nie dłuższy </w:t>
      </w:r>
      <w:r w:rsidRPr="003E595C">
        <w:rPr>
          <w:rFonts w:asciiTheme="minorHAnsi" w:hAnsiTheme="minorHAnsi"/>
          <w:b/>
          <w:color w:val="auto"/>
          <w:sz w:val="22"/>
          <w:szCs w:val="22"/>
        </w:rPr>
        <w:t>niż 20 lat</w:t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 dla zakresu dotyczącego nowych źródeł ciepła w przypadku gdy przedsięwzięcie służy utrzymaniu</w:t>
      </w:r>
      <w:r w:rsidRPr="003E595C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3"/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 lub uzyskaniu przez system ciepłowniczy warunków „efektywnego systemu ciepłowniczego</w:t>
      </w:r>
      <w:r w:rsidRPr="003E595C">
        <w:rPr>
          <w:rStyle w:val="Odwoanieprzypisudolnego"/>
          <w:rFonts w:asciiTheme="minorHAnsi" w:hAnsiTheme="minorHAnsi"/>
          <w:color w:val="auto"/>
          <w:sz w:val="22"/>
          <w:szCs w:val="22"/>
        </w:rPr>
        <w:footnoteReference w:id="4"/>
      </w:r>
      <w:r w:rsidRPr="003E595C">
        <w:rPr>
          <w:rFonts w:asciiTheme="minorHAnsi" w:hAnsiTheme="minorHAnsi"/>
          <w:color w:val="auto"/>
          <w:sz w:val="22"/>
          <w:szCs w:val="22"/>
        </w:rPr>
        <w:t xml:space="preserve">”, a </w:t>
      </w:r>
      <w:r w:rsidRPr="003E595C">
        <w:rPr>
          <w:rFonts w:asciiTheme="minorHAnsi" w:hAnsiTheme="minorHAnsi"/>
          <w:sz w:val="22"/>
          <w:szCs w:val="22"/>
        </w:rPr>
        <w:t>co najmniej 30 % strumienia wytwarzanego ciepła wykorzystywano jest na cele komunalno</w:t>
      </w:r>
      <w:r>
        <w:rPr>
          <w:rFonts w:asciiTheme="minorHAnsi" w:hAnsiTheme="minorHAnsi"/>
          <w:sz w:val="22"/>
          <w:szCs w:val="22"/>
        </w:rPr>
        <w:t>-bytowe);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>pożyczki na zasadach rynkowych: to oferta skierowana do tych podmiotów, które nie mogą uzyskać pomocy publicznej są natomiast zdecydowane (lub prawnie zobligowane) na realizację przedsięwzięć zmniejszających ich</w:t>
      </w:r>
      <w:r>
        <w:rPr>
          <w:rFonts w:asciiTheme="minorHAnsi" w:hAnsiTheme="minorHAnsi"/>
          <w:sz w:val="22"/>
          <w:szCs w:val="22"/>
        </w:rPr>
        <w:t xml:space="preserve"> negatywną presję na środowisko;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– </w:t>
      </w:r>
      <w:r w:rsidRPr="003E595C">
        <w:rPr>
          <w:rFonts w:asciiTheme="minorHAnsi" w:hAnsiTheme="minorHAnsi"/>
          <w:sz w:val="22"/>
          <w:szCs w:val="22"/>
        </w:rPr>
        <w:t>dotacje: Wsparcie bezzwrotne oferowane jest wyłącznie dla przedsięwzięć wykorzystujących do produkcji energii elektrycznej technologię ORC</w:t>
      </w:r>
      <w:r w:rsidRPr="003E595C">
        <w:rPr>
          <w:rFonts w:asciiTheme="minorHAnsi" w:hAnsiTheme="minorHAnsi"/>
          <w:sz w:val="22"/>
          <w:szCs w:val="22"/>
          <w:vertAlign w:val="superscript"/>
        </w:rPr>
        <w:footnoteReference w:id="5"/>
      </w:r>
      <w:r w:rsidRPr="003E595C">
        <w:rPr>
          <w:rFonts w:asciiTheme="minorHAnsi" w:hAnsiTheme="minorHAnsi"/>
          <w:sz w:val="22"/>
          <w:szCs w:val="22"/>
        </w:rPr>
        <w:t xml:space="preserve"> (w ramach ciepłowni/ elektrociepłowni/ elektrowni geotermalnych), a poziom dotacji może wynieść </w:t>
      </w:r>
      <w:r w:rsidRPr="003E595C">
        <w:rPr>
          <w:rFonts w:asciiTheme="minorHAnsi" w:hAnsiTheme="minorHAnsi"/>
          <w:b/>
          <w:sz w:val="22"/>
          <w:szCs w:val="22"/>
        </w:rPr>
        <w:t>do 50%.</w:t>
      </w:r>
    </w:p>
    <w:p w:rsidR="005E32ED" w:rsidRPr="003E595C" w:rsidRDefault="005E32ED" w:rsidP="005E32ED">
      <w:pPr>
        <w:pStyle w:val="Akapitzlist2"/>
        <w:autoSpaceDE w:val="0"/>
        <w:autoSpaceDN w:val="0"/>
        <w:adjustRightInd w:val="0"/>
        <w:spacing w:before="120"/>
        <w:ind w:left="0"/>
        <w:jc w:val="both"/>
        <w:rPr>
          <w:rFonts w:asciiTheme="minorHAnsi" w:hAnsiTheme="minorHAnsi"/>
          <w:sz w:val="22"/>
          <w:szCs w:val="22"/>
        </w:rPr>
      </w:pPr>
      <w:r w:rsidRPr="003E595C">
        <w:rPr>
          <w:rFonts w:asciiTheme="minorHAnsi" w:hAnsiTheme="minorHAnsi"/>
          <w:b/>
          <w:sz w:val="22"/>
          <w:szCs w:val="22"/>
        </w:rPr>
        <w:t xml:space="preserve">Nabór wniosków: od 1 marca 2019 do 20 grudnia 2019 r. (kwota alokacji w ramach naboru: </w:t>
      </w:r>
      <w:r>
        <w:rPr>
          <w:rFonts w:asciiTheme="minorHAnsi" w:hAnsiTheme="minorHAnsi"/>
          <w:b/>
          <w:sz w:val="22"/>
          <w:szCs w:val="22"/>
        </w:rPr>
        <w:br/>
      </w:r>
      <w:r w:rsidRPr="003E595C">
        <w:rPr>
          <w:rFonts w:asciiTheme="minorHAnsi" w:hAnsiTheme="minorHAnsi"/>
          <w:b/>
          <w:sz w:val="22"/>
          <w:szCs w:val="22"/>
        </w:rPr>
        <w:t>2 251 863 073 złotych)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5E32ED" w:rsidRPr="006220F8" w:rsidRDefault="005E32ED" w:rsidP="00BD6081">
      <w:pPr>
        <w:rPr>
          <w:rFonts w:asciiTheme="minorHAnsi" w:hAnsiTheme="minorHAnsi"/>
          <w:sz w:val="16"/>
          <w:szCs w:val="24"/>
        </w:rPr>
      </w:pPr>
    </w:p>
    <w:sectPr w:rsidR="005E32ED" w:rsidRPr="006220F8" w:rsidSect="002E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D1" w:rsidRDefault="00DD40D1" w:rsidP="00663473">
      <w:r>
        <w:separator/>
      </w:r>
    </w:p>
  </w:endnote>
  <w:endnote w:type="continuationSeparator" w:id="0">
    <w:p w:rsidR="00DD40D1" w:rsidRDefault="00DD40D1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D1" w:rsidRDefault="00DD40D1" w:rsidP="00663473">
      <w:r>
        <w:separator/>
      </w:r>
    </w:p>
  </w:footnote>
  <w:footnote w:type="continuationSeparator" w:id="0">
    <w:p w:rsidR="00DD40D1" w:rsidRDefault="00DD40D1" w:rsidP="00663473">
      <w:r>
        <w:continuationSeparator/>
      </w:r>
    </w:p>
  </w:footnote>
  <w:footnote w:id="1">
    <w:p w:rsidR="005E32ED" w:rsidRPr="00E12ABD" w:rsidRDefault="005E32ED" w:rsidP="005E32ED">
      <w:pPr>
        <w:jc w:val="both"/>
        <w:rPr>
          <w:rFonts w:asciiTheme="minorHAnsi" w:hAnsiTheme="minorHAnsi"/>
          <w:sz w:val="18"/>
          <w:szCs w:val="18"/>
        </w:rPr>
      </w:pPr>
      <w:r w:rsidRPr="00E12ABD">
        <w:rPr>
          <w:rStyle w:val="Odwoanieprzypisudolnego"/>
          <w:rFonts w:asciiTheme="minorHAnsi" w:hAnsiTheme="minorHAnsi" w:cs="Arial"/>
          <w:sz w:val="18"/>
          <w:szCs w:val="18"/>
        </w:rPr>
        <w:footnoteRef/>
      </w:r>
      <w:r w:rsidRPr="00491B37">
        <w:rPr>
          <w:rFonts w:asciiTheme="minorHAnsi" w:hAnsiTheme="minorHAnsi"/>
        </w:rPr>
        <w:t xml:space="preserve"> </w:t>
      </w:r>
      <w:r w:rsidRPr="00E12ABD">
        <w:rPr>
          <w:rFonts w:asciiTheme="minorHAnsi" w:hAnsiTheme="minorHAnsi"/>
          <w:sz w:val="18"/>
          <w:szCs w:val="18"/>
        </w:rPr>
        <w:t xml:space="preserve">Dyrektywa Parlamentu Europejskiego i Rady 2010/75/UE z dnia 24 listopada 2010 r., w sprawie emisji przemysłowych (Industrial </w:t>
      </w:r>
      <w:proofErr w:type="spellStart"/>
      <w:r w:rsidRPr="00E12ABD">
        <w:rPr>
          <w:rFonts w:asciiTheme="minorHAnsi" w:hAnsiTheme="minorHAnsi"/>
          <w:sz w:val="18"/>
          <w:szCs w:val="18"/>
        </w:rPr>
        <w:t>Emission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 Directive - IED).</w:t>
      </w:r>
    </w:p>
  </w:footnote>
  <w:footnote w:id="2">
    <w:p w:rsidR="005E32ED" w:rsidRPr="00E44C06" w:rsidRDefault="005E32ED" w:rsidP="005E32ED">
      <w:pPr>
        <w:jc w:val="both"/>
        <w:rPr>
          <w:rFonts w:asciiTheme="minorHAnsi" w:hAnsiTheme="minorHAnsi"/>
        </w:rPr>
      </w:pPr>
      <w:r w:rsidRPr="00E12ABD">
        <w:rPr>
          <w:rFonts w:asciiTheme="minorHAnsi" w:hAnsiTheme="minorHAnsi"/>
          <w:sz w:val="18"/>
          <w:szCs w:val="18"/>
          <w:vertAlign w:val="superscript"/>
        </w:rPr>
        <w:footnoteRef/>
      </w:r>
      <w:r w:rsidRPr="00E12ABD">
        <w:rPr>
          <w:rFonts w:asciiTheme="minorHAnsi" w:hAnsiTheme="minorHAnsi"/>
          <w:sz w:val="18"/>
          <w:szCs w:val="18"/>
        </w:rPr>
        <w:t xml:space="preserve"> Dyrektywa Parlamentu Europejskiego i Rady 2015/2193/UE z dnia 25 listopada 2015 r. w sprawie ograniczenia niektórych zanieczyszczeń do powietrza ze średnich obiektów energetycznego spalania (Medium Combustion Plants - MCP).</w:t>
      </w:r>
    </w:p>
  </w:footnote>
  <w:footnote w:id="3">
    <w:p w:rsidR="005E32ED" w:rsidRPr="00DB2543" w:rsidRDefault="005E32ED" w:rsidP="005E32ED">
      <w:pPr>
        <w:pStyle w:val="Default"/>
        <w:keepNext/>
        <w:spacing w:before="120"/>
        <w:jc w:val="both"/>
        <w:rPr>
          <w:rFonts w:asciiTheme="minorHAnsi" w:hAnsiTheme="minorHAnsi"/>
          <w:color w:val="auto"/>
          <w:sz w:val="18"/>
          <w:szCs w:val="18"/>
        </w:rPr>
      </w:pPr>
      <w:r w:rsidRPr="00DB2543">
        <w:rPr>
          <w:rStyle w:val="Odwoanieprzypisudolnego"/>
          <w:rFonts w:asciiTheme="minorHAnsi" w:hAnsiTheme="minorHAnsi"/>
          <w:color w:val="auto"/>
          <w:sz w:val="18"/>
          <w:szCs w:val="18"/>
        </w:rPr>
        <w:footnoteRef/>
      </w:r>
      <w:r w:rsidRPr="00DB2543">
        <w:rPr>
          <w:sz w:val="18"/>
          <w:szCs w:val="18"/>
        </w:rPr>
        <w:t xml:space="preserve"> </w:t>
      </w:r>
      <w:r w:rsidRPr="00DB2543">
        <w:rPr>
          <w:rFonts w:asciiTheme="minorHAnsi" w:hAnsiTheme="minorHAnsi"/>
          <w:color w:val="auto"/>
          <w:sz w:val="18"/>
          <w:szCs w:val="18"/>
        </w:rPr>
        <w:t xml:space="preserve">Jako utrzymanie efektywnego systemu ciepłowniczego i/lub chłodniczego uznaje się wdrożenie takiego przedsięwzięcia, którego zaniechanie spowoduje niespełnienie przez dany system ciepłowniczy jednego z warunków wynikających </w:t>
      </w:r>
      <w:r>
        <w:rPr>
          <w:rFonts w:asciiTheme="minorHAnsi" w:hAnsiTheme="minorHAnsi"/>
          <w:color w:val="auto"/>
          <w:sz w:val="18"/>
          <w:szCs w:val="18"/>
        </w:rPr>
        <w:br/>
      </w:r>
      <w:r w:rsidRPr="00DB2543">
        <w:rPr>
          <w:rFonts w:asciiTheme="minorHAnsi" w:hAnsiTheme="minorHAnsi"/>
          <w:color w:val="auto"/>
          <w:sz w:val="18"/>
          <w:szCs w:val="18"/>
        </w:rPr>
        <w:t>z efektywnego systemu ciepłowniczego i/lub chłodniczego.</w:t>
      </w:r>
    </w:p>
  </w:footnote>
  <w:footnote w:id="4">
    <w:p w:rsidR="005E32ED" w:rsidRPr="00DB2543" w:rsidRDefault="005E32ED" w:rsidP="005E32ED">
      <w:pPr>
        <w:jc w:val="both"/>
        <w:rPr>
          <w:rFonts w:asciiTheme="minorHAnsi" w:hAnsiTheme="minorHAnsi"/>
          <w:sz w:val="18"/>
          <w:szCs w:val="18"/>
        </w:rPr>
      </w:pPr>
      <w:r w:rsidRPr="00DB254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B2543">
        <w:rPr>
          <w:rFonts w:asciiTheme="minorHAnsi" w:hAnsiTheme="minorHAnsi"/>
          <w:sz w:val="18"/>
          <w:szCs w:val="18"/>
        </w:rPr>
        <w:t xml:space="preserve"> </w:t>
      </w:r>
      <w:r w:rsidRPr="00DB2543">
        <w:rPr>
          <w:rFonts w:asciiTheme="minorHAnsi" w:hAnsiTheme="minorHAnsi"/>
          <w:i/>
          <w:sz w:val="18"/>
          <w:szCs w:val="18"/>
        </w:rPr>
        <w:t>Efektywny system ciepłowniczy</w:t>
      </w:r>
      <w:r w:rsidRPr="00DB2543">
        <w:rPr>
          <w:rFonts w:asciiTheme="minorHAnsi" w:hAnsiTheme="minorHAnsi"/>
          <w:sz w:val="18"/>
          <w:szCs w:val="18"/>
        </w:rPr>
        <w:t>, system w którym do produkcji ciepła lub chłodu wykorzystuje się w co najmniej:</w:t>
      </w:r>
    </w:p>
    <w:p w:rsidR="005E32ED" w:rsidRPr="00067832" w:rsidRDefault="005E32ED" w:rsidP="005E32ED">
      <w:pPr>
        <w:jc w:val="both"/>
        <w:rPr>
          <w:rFonts w:asciiTheme="minorHAnsi" w:hAnsiTheme="minorHAnsi"/>
        </w:rPr>
      </w:pPr>
      <w:r w:rsidRPr="00DB2543">
        <w:rPr>
          <w:rFonts w:asciiTheme="minorHAnsi" w:hAnsiTheme="minorHAnsi"/>
          <w:sz w:val="18"/>
          <w:szCs w:val="18"/>
        </w:rPr>
        <w:t xml:space="preserve">50% energię ze źródeł odnawialnych lub 50 % ciepło odpadowe lub 75 % ciepło pochodzące z kogeneracji </w:t>
      </w:r>
      <w:r>
        <w:rPr>
          <w:rFonts w:asciiTheme="minorHAnsi" w:hAnsiTheme="minorHAnsi"/>
          <w:sz w:val="18"/>
          <w:szCs w:val="18"/>
        </w:rPr>
        <w:br/>
        <w:t xml:space="preserve">lub </w:t>
      </w:r>
      <w:r w:rsidRPr="00DB2543">
        <w:rPr>
          <w:rFonts w:asciiTheme="minorHAnsi" w:hAnsiTheme="minorHAnsi"/>
          <w:sz w:val="18"/>
          <w:szCs w:val="18"/>
        </w:rPr>
        <w:t>w 50 % wykorzystuje się połączenie takiej energii i ciepła.</w:t>
      </w:r>
      <w:r>
        <w:rPr>
          <w:rFonts w:asciiTheme="minorHAnsi" w:hAnsiTheme="minorHAnsi"/>
        </w:rPr>
        <w:t xml:space="preserve"> </w:t>
      </w:r>
    </w:p>
  </w:footnote>
  <w:footnote w:id="5">
    <w:p w:rsidR="005E32ED" w:rsidRPr="00E12ABD" w:rsidRDefault="005E32ED" w:rsidP="005E32ED">
      <w:pPr>
        <w:pStyle w:val="Tekstprzypisudolnego"/>
        <w:jc w:val="both"/>
        <w:rPr>
          <w:sz w:val="18"/>
          <w:szCs w:val="18"/>
        </w:rPr>
      </w:pPr>
      <w:r w:rsidRPr="00E12ABD">
        <w:rPr>
          <w:rStyle w:val="Odwoanieprzypisudolnego"/>
          <w:rFonts w:asciiTheme="minorHAnsi" w:hAnsiTheme="minorHAnsi" w:cs="Arial"/>
          <w:sz w:val="18"/>
          <w:szCs w:val="18"/>
        </w:rPr>
        <w:footnoteRef/>
      </w:r>
      <w:r w:rsidRPr="00E12AB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12ABD">
        <w:rPr>
          <w:rFonts w:asciiTheme="minorHAnsi" w:hAnsiTheme="minorHAnsi"/>
          <w:sz w:val="18"/>
          <w:szCs w:val="18"/>
        </w:rPr>
        <w:t>Organic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E12ABD">
        <w:rPr>
          <w:rFonts w:asciiTheme="minorHAnsi" w:hAnsiTheme="minorHAnsi"/>
          <w:sz w:val="18"/>
          <w:szCs w:val="18"/>
        </w:rPr>
        <w:t>Rankine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E12ABD">
        <w:rPr>
          <w:rFonts w:asciiTheme="minorHAnsi" w:hAnsiTheme="minorHAnsi"/>
          <w:sz w:val="18"/>
          <w:szCs w:val="18"/>
        </w:rPr>
        <w:t>Cycle</w:t>
      </w:r>
      <w:proofErr w:type="spellEnd"/>
      <w:r w:rsidRPr="00E12ABD">
        <w:rPr>
          <w:rFonts w:asciiTheme="minorHAnsi" w:hAnsiTheme="minorHAnsi"/>
          <w:sz w:val="18"/>
          <w:szCs w:val="18"/>
        </w:rPr>
        <w:t xml:space="preserve">. W układach ORC przy produkcji energii wykorzystuje się zamiast wody/para wodna innych organiczny czynnik roboczy, który ulega odparowaniu w niższych temperaturach, stąd możliwość wykorzystania ciepła o niskich parametrach np. odpadowego z innych procesów lub energii wód geotermalnych.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81"/>
    <w:rsid w:val="00051A8D"/>
    <w:rsid w:val="00067DC7"/>
    <w:rsid w:val="000D04C2"/>
    <w:rsid w:val="000D4ACC"/>
    <w:rsid w:val="000F2E60"/>
    <w:rsid w:val="00126A2B"/>
    <w:rsid w:val="00147502"/>
    <w:rsid w:val="001658A8"/>
    <w:rsid w:val="001F07EB"/>
    <w:rsid w:val="002D0679"/>
    <w:rsid w:val="002E0128"/>
    <w:rsid w:val="003001E9"/>
    <w:rsid w:val="003010C3"/>
    <w:rsid w:val="0033560E"/>
    <w:rsid w:val="0036702C"/>
    <w:rsid w:val="00374D68"/>
    <w:rsid w:val="004402CA"/>
    <w:rsid w:val="00487B4E"/>
    <w:rsid w:val="00491B37"/>
    <w:rsid w:val="00491D01"/>
    <w:rsid w:val="004D12F9"/>
    <w:rsid w:val="004E4961"/>
    <w:rsid w:val="00543478"/>
    <w:rsid w:val="00550662"/>
    <w:rsid w:val="00585BA1"/>
    <w:rsid w:val="005A6DAB"/>
    <w:rsid w:val="005B74DA"/>
    <w:rsid w:val="005E32ED"/>
    <w:rsid w:val="005F4DF0"/>
    <w:rsid w:val="006220F8"/>
    <w:rsid w:val="00624952"/>
    <w:rsid w:val="00625876"/>
    <w:rsid w:val="00663473"/>
    <w:rsid w:val="0069147A"/>
    <w:rsid w:val="00691F56"/>
    <w:rsid w:val="0073092F"/>
    <w:rsid w:val="00740733"/>
    <w:rsid w:val="00742152"/>
    <w:rsid w:val="007B61F8"/>
    <w:rsid w:val="007D26E7"/>
    <w:rsid w:val="007F2AA3"/>
    <w:rsid w:val="00825E9E"/>
    <w:rsid w:val="008308B9"/>
    <w:rsid w:val="00833FA8"/>
    <w:rsid w:val="00845B47"/>
    <w:rsid w:val="008833D2"/>
    <w:rsid w:val="008D4D12"/>
    <w:rsid w:val="008F0C82"/>
    <w:rsid w:val="009476F5"/>
    <w:rsid w:val="00951B50"/>
    <w:rsid w:val="009956B5"/>
    <w:rsid w:val="009A3F66"/>
    <w:rsid w:val="009D4F18"/>
    <w:rsid w:val="00A1207A"/>
    <w:rsid w:val="00A22E73"/>
    <w:rsid w:val="00A34CB8"/>
    <w:rsid w:val="00A35B93"/>
    <w:rsid w:val="00A37EAA"/>
    <w:rsid w:val="00A4675A"/>
    <w:rsid w:val="00B35831"/>
    <w:rsid w:val="00B46217"/>
    <w:rsid w:val="00B5778E"/>
    <w:rsid w:val="00B913F3"/>
    <w:rsid w:val="00BB121B"/>
    <w:rsid w:val="00BD5255"/>
    <w:rsid w:val="00BD6081"/>
    <w:rsid w:val="00BD6973"/>
    <w:rsid w:val="00C54ECB"/>
    <w:rsid w:val="00C91250"/>
    <w:rsid w:val="00CB2C2E"/>
    <w:rsid w:val="00CB7DE2"/>
    <w:rsid w:val="00D405CB"/>
    <w:rsid w:val="00D57F12"/>
    <w:rsid w:val="00DA6606"/>
    <w:rsid w:val="00DD40D1"/>
    <w:rsid w:val="00E12ABD"/>
    <w:rsid w:val="00E44C06"/>
    <w:rsid w:val="00ED01A7"/>
    <w:rsid w:val="00F36B6B"/>
    <w:rsid w:val="00F432B4"/>
    <w:rsid w:val="00F77F9E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1658A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efault">
    <w:name w:val="Default"/>
    <w:rsid w:val="005E32E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3C69-CD6D-478E-9C04-4D6689FC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Bieniecka-Popardowska Donata</cp:lastModifiedBy>
  <cp:revision>2</cp:revision>
  <cp:lastPrinted>2019-02-26T08:37:00Z</cp:lastPrinted>
  <dcterms:created xsi:type="dcterms:W3CDTF">2019-02-26T08:38:00Z</dcterms:created>
  <dcterms:modified xsi:type="dcterms:W3CDTF">2019-02-26T08:38:00Z</dcterms:modified>
</cp:coreProperties>
</file>