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20D" w:rsidRPr="007A5225" w:rsidRDefault="00532959" w:rsidP="00893556">
      <w:pPr>
        <w:tabs>
          <w:tab w:val="right" w:pos="10206"/>
        </w:tabs>
        <w:spacing w:after="120"/>
        <w:ind w:left="567" w:right="56"/>
        <w:contextualSpacing/>
        <w:jc w:val="right"/>
        <w:rPr>
          <w:rFonts w:asciiTheme="minorHAnsi" w:hAnsiTheme="minorHAnsi" w:cs="Tahoma"/>
          <w:noProof/>
        </w:rPr>
      </w:pPr>
      <w:bookmarkStart w:id="0" w:name="_GoBack"/>
      <w:bookmarkEnd w:id="0"/>
      <w:r w:rsidRPr="007A5225">
        <w:rPr>
          <w:rFonts w:asciiTheme="minorHAnsi" w:hAnsiTheme="minorHAnsi" w:cs="Tahoma"/>
          <w:noProof/>
        </w:rPr>
        <w:t>Warszawa</w:t>
      </w:r>
      <w:r w:rsidR="00723D50" w:rsidRPr="007A5225">
        <w:rPr>
          <w:rFonts w:asciiTheme="minorHAnsi" w:hAnsiTheme="minorHAnsi" w:cs="Tahoma"/>
          <w:noProof/>
        </w:rPr>
        <w:t xml:space="preserve">, </w:t>
      </w:r>
      <w:r w:rsidR="001430DA" w:rsidRPr="007A5225">
        <w:rPr>
          <w:rFonts w:asciiTheme="minorHAnsi" w:hAnsiTheme="minorHAnsi" w:cs="Tahoma"/>
          <w:noProof/>
        </w:rPr>
        <w:t>1</w:t>
      </w:r>
      <w:r w:rsidR="007A5225" w:rsidRPr="007A5225">
        <w:rPr>
          <w:rFonts w:asciiTheme="minorHAnsi" w:hAnsiTheme="minorHAnsi" w:cs="Tahoma"/>
          <w:noProof/>
        </w:rPr>
        <w:t>6</w:t>
      </w:r>
      <w:r w:rsidR="007F1431" w:rsidRPr="007A5225">
        <w:rPr>
          <w:rFonts w:asciiTheme="minorHAnsi" w:hAnsiTheme="minorHAnsi" w:cs="Tahoma"/>
          <w:noProof/>
        </w:rPr>
        <w:t xml:space="preserve"> lipca</w:t>
      </w:r>
      <w:r w:rsidR="009A101F" w:rsidRPr="007A5225">
        <w:rPr>
          <w:rFonts w:asciiTheme="minorHAnsi" w:hAnsiTheme="minorHAnsi" w:cs="Tahoma"/>
          <w:noProof/>
        </w:rPr>
        <w:t xml:space="preserve"> </w:t>
      </w:r>
      <w:r w:rsidR="00723D50" w:rsidRPr="007A5225">
        <w:rPr>
          <w:rFonts w:asciiTheme="minorHAnsi" w:hAnsiTheme="minorHAnsi" w:cs="Tahoma"/>
          <w:noProof/>
        </w:rPr>
        <w:t>201</w:t>
      </w:r>
      <w:r w:rsidR="00BE3CA5" w:rsidRPr="007A5225">
        <w:rPr>
          <w:rFonts w:asciiTheme="minorHAnsi" w:hAnsiTheme="minorHAnsi" w:cs="Tahoma"/>
          <w:noProof/>
        </w:rPr>
        <w:t>5</w:t>
      </w:r>
      <w:r w:rsidR="0055384D" w:rsidRPr="007A5225">
        <w:rPr>
          <w:rFonts w:asciiTheme="minorHAnsi" w:hAnsiTheme="minorHAnsi" w:cs="Tahoma"/>
          <w:noProof/>
        </w:rPr>
        <w:t xml:space="preserve"> </w:t>
      </w:r>
      <w:r w:rsidR="00723D50" w:rsidRPr="007A5225">
        <w:rPr>
          <w:rFonts w:asciiTheme="minorHAnsi" w:hAnsiTheme="minorHAnsi" w:cs="Tahoma"/>
          <w:noProof/>
        </w:rPr>
        <w:t>r.</w:t>
      </w:r>
    </w:p>
    <w:p w:rsidR="00962F41" w:rsidRPr="001430DA" w:rsidRDefault="00962F41" w:rsidP="00893556">
      <w:pPr>
        <w:shd w:val="clear" w:color="auto" w:fill="FFFFFF" w:themeFill="background1"/>
        <w:spacing w:after="120"/>
        <w:contextualSpacing/>
        <w:jc w:val="right"/>
        <w:rPr>
          <w:rFonts w:asciiTheme="minorHAnsi" w:hAnsiTheme="minorHAnsi" w:cs="Tahoma"/>
          <w:noProof/>
        </w:rPr>
      </w:pPr>
      <w:r w:rsidRPr="007A5225">
        <w:rPr>
          <w:rFonts w:asciiTheme="minorHAnsi" w:hAnsiTheme="minorHAnsi" w:cs="Tahoma"/>
        </w:rPr>
        <w:t>KL/</w:t>
      </w:r>
      <w:r w:rsidR="007A5225" w:rsidRPr="007A5225">
        <w:rPr>
          <w:rFonts w:asciiTheme="minorHAnsi" w:hAnsiTheme="minorHAnsi" w:cs="Tahoma"/>
        </w:rPr>
        <w:t>388</w:t>
      </w:r>
      <w:r w:rsidRPr="007A5225">
        <w:rPr>
          <w:rFonts w:asciiTheme="minorHAnsi" w:hAnsiTheme="minorHAnsi" w:cs="Tahoma"/>
        </w:rPr>
        <w:t>/DK/2015</w:t>
      </w:r>
    </w:p>
    <w:p w:rsidR="00CC6CA3" w:rsidRPr="001430DA" w:rsidRDefault="00CC6CA3" w:rsidP="00A174E4">
      <w:pPr>
        <w:spacing w:after="120"/>
        <w:ind w:left="709"/>
        <w:contextualSpacing/>
        <w:rPr>
          <w:rFonts w:asciiTheme="minorHAnsi" w:hAnsiTheme="minorHAnsi"/>
          <w:b/>
        </w:rPr>
      </w:pPr>
    </w:p>
    <w:p w:rsidR="00DF4F5D" w:rsidRDefault="00DF4F5D" w:rsidP="00A174E4">
      <w:pPr>
        <w:spacing w:after="120"/>
        <w:ind w:left="709"/>
        <w:contextualSpacing/>
        <w:rPr>
          <w:rFonts w:asciiTheme="minorHAnsi" w:hAnsiTheme="minorHAnsi"/>
          <w:b/>
        </w:rPr>
      </w:pPr>
    </w:p>
    <w:p w:rsidR="007A5225" w:rsidRDefault="007A5225" w:rsidP="00A174E4">
      <w:pPr>
        <w:spacing w:after="120"/>
        <w:ind w:left="709"/>
        <w:contextualSpacing/>
        <w:rPr>
          <w:rFonts w:asciiTheme="minorHAnsi" w:hAnsiTheme="minorHAnsi"/>
          <w:b/>
        </w:rPr>
      </w:pPr>
    </w:p>
    <w:p w:rsidR="00DC0EA1" w:rsidRPr="001430DA" w:rsidRDefault="00DC0EA1" w:rsidP="00A174E4">
      <w:pPr>
        <w:spacing w:after="120"/>
        <w:ind w:left="709"/>
        <w:contextualSpacing/>
        <w:rPr>
          <w:rFonts w:asciiTheme="minorHAnsi" w:hAnsiTheme="minorHAnsi"/>
          <w:b/>
        </w:rPr>
      </w:pPr>
    </w:p>
    <w:p w:rsidR="007A5225" w:rsidRDefault="007A5225" w:rsidP="00611901">
      <w:pPr>
        <w:tabs>
          <w:tab w:val="center" w:pos="4677"/>
        </w:tabs>
        <w:ind w:left="709"/>
        <w:contextualSpacing/>
        <w:jc w:val="both"/>
        <w:rPr>
          <w:rFonts w:asciiTheme="minorHAnsi" w:hAnsiTheme="minorHAnsi" w:cstheme="minorHAnsi"/>
          <w:b/>
        </w:rPr>
      </w:pPr>
    </w:p>
    <w:p w:rsidR="00151510" w:rsidRPr="007F1431" w:rsidRDefault="00A174E4" w:rsidP="00611901">
      <w:pPr>
        <w:tabs>
          <w:tab w:val="center" w:pos="4677"/>
        </w:tabs>
        <w:ind w:left="709"/>
        <w:contextualSpacing/>
        <w:jc w:val="both"/>
        <w:rPr>
          <w:rFonts w:asciiTheme="minorHAnsi" w:hAnsiTheme="minorHAnsi" w:cstheme="minorHAnsi"/>
          <w:b/>
        </w:rPr>
      </w:pPr>
      <w:r w:rsidRPr="007F1431">
        <w:rPr>
          <w:rFonts w:asciiTheme="minorHAnsi" w:hAnsiTheme="minorHAnsi" w:cstheme="minorHAnsi"/>
          <w:b/>
        </w:rPr>
        <w:t>Pan</w:t>
      </w:r>
      <w:r w:rsidR="007A5225">
        <w:rPr>
          <w:rFonts w:asciiTheme="minorHAnsi" w:hAnsiTheme="minorHAnsi" w:cstheme="minorHAnsi"/>
          <w:b/>
        </w:rPr>
        <w:t>i Ewa KOPACZ</w:t>
      </w:r>
    </w:p>
    <w:p w:rsidR="007F1431" w:rsidRDefault="007A5225" w:rsidP="00611901">
      <w:pPr>
        <w:tabs>
          <w:tab w:val="center" w:pos="4677"/>
        </w:tabs>
        <w:ind w:left="709"/>
        <w:contextualSpacing/>
        <w:rPr>
          <w:rStyle w:val="Pogrubienie"/>
          <w:rFonts w:asciiTheme="minorHAnsi" w:eastAsia="Calibri" w:hAnsiTheme="minorHAnsi"/>
          <w:color w:val="555555"/>
        </w:rPr>
      </w:pPr>
      <w:r>
        <w:rPr>
          <w:rStyle w:val="Pogrubienie"/>
          <w:rFonts w:asciiTheme="minorHAnsi" w:eastAsia="Calibri" w:hAnsiTheme="minorHAnsi"/>
          <w:color w:val="555555"/>
        </w:rPr>
        <w:t>Premier RP</w:t>
      </w:r>
    </w:p>
    <w:p w:rsidR="00A174E4" w:rsidRPr="007F1431" w:rsidRDefault="00A174E4" w:rsidP="00A174E4">
      <w:pPr>
        <w:tabs>
          <w:tab w:val="center" w:pos="4677"/>
        </w:tabs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6E5333" w:rsidRPr="001430DA" w:rsidRDefault="006E5333" w:rsidP="006E5333">
      <w:pPr>
        <w:tabs>
          <w:tab w:val="center" w:pos="4677"/>
        </w:tabs>
        <w:spacing w:after="120"/>
        <w:ind w:left="708"/>
        <w:jc w:val="both"/>
        <w:rPr>
          <w:rFonts w:asciiTheme="minorHAnsi" w:hAnsiTheme="minorHAnsi" w:cstheme="minorHAnsi"/>
        </w:rPr>
      </w:pPr>
      <w:r w:rsidRPr="001430DA">
        <w:rPr>
          <w:rFonts w:asciiTheme="minorHAnsi" w:hAnsiTheme="minorHAnsi" w:cstheme="minorHAnsi"/>
        </w:rPr>
        <w:t>Szanown</w:t>
      </w:r>
      <w:r w:rsidR="007A5225">
        <w:rPr>
          <w:rFonts w:asciiTheme="minorHAnsi" w:hAnsiTheme="minorHAnsi" w:cstheme="minorHAnsi"/>
        </w:rPr>
        <w:t xml:space="preserve">a Pani Premier, </w:t>
      </w:r>
      <w:r w:rsidR="007F1431">
        <w:rPr>
          <w:rFonts w:asciiTheme="minorHAnsi" w:hAnsiTheme="minorHAnsi" w:cstheme="minorHAnsi"/>
        </w:rPr>
        <w:t xml:space="preserve"> </w:t>
      </w:r>
      <w:r w:rsidRPr="001430DA">
        <w:rPr>
          <w:rFonts w:asciiTheme="minorHAnsi" w:hAnsiTheme="minorHAnsi" w:cstheme="minorHAnsi"/>
        </w:rPr>
        <w:t xml:space="preserve"> </w:t>
      </w:r>
    </w:p>
    <w:p w:rsidR="00611901" w:rsidRDefault="00611901" w:rsidP="00611901">
      <w:pPr>
        <w:tabs>
          <w:tab w:val="left" w:pos="0"/>
        </w:tabs>
        <w:spacing w:after="120" w:line="288" w:lineRule="auto"/>
        <w:ind w:left="709"/>
        <w:jc w:val="both"/>
        <w:rPr>
          <w:rFonts w:asciiTheme="minorHAnsi" w:hAnsiTheme="minorHAnsi" w:cstheme="minorHAnsi"/>
        </w:rPr>
      </w:pPr>
    </w:p>
    <w:p w:rsidR="007A5225" w:rsidRDefault="007A5225" w:rsidP="00611901">
      <w:pPr>
        <w:tabs>
          <w:tab w:val="left" w:pos="0"/>
        </w:tabs>
        <w:spacing w:after="120" w:line="288" w:lineRule="auto"/>
        <w:ind w:left="709"/>
        <w:jc w:val="both"/>
        <w:rPr>
          <w:rFonts w:asciiTheme="minorHAnsi" w:hAnsiTheme="minorHAnsi" w:cstheme="minorHAnsi"/>
        </w:rPr>
      </w:pPr>
    </w:p>
    <w:p w:rsidR="007A5225" w:rsidRPr="007A5225" w:rsidRDefault="007A5225" w:rsidP="00DC0EA1">
      <w:pPr>
        <w:spacing w:after="120" w:line="288" w:lineRule="auto"/>
        <w:ind w:left="708"/>
        <w:jc w:val="both"/>
        <w:rPr>
          <w:rFonts w:asciiTheme="minorHAnsi" w:hAnsiTheme="minorHAnsi"/>
          <w:sz w:val="22"/>
          <w:szCs w:val="22"/>
        </w:rPr>
      </w:pPr>
      <w:r w:rsidRPr="007A5225">
        <w:rPr>
          <w:rFonts w:asciiTheme="minorHAnsi" w:hAnsiTheme="minorHAnsi"/>
          <w:sz w:val="22"/>
          <w:szCs w:val="22"/>
        </w:rPr>
        <w:t xml:space="preserve">Rada OZE przy Konfederacji Lewiatan jest zaniepokojona brakiem reakcji Ministra Gospodarki i  Rządu RP na pogłębiający się kryzys na rynku świadectw pochodzenia energii odnawialnej. Narastająca nadwyżka praw majątkowych energii odnawialnej, wynosząca już ok. 15 TWh, a więc prawie równa rocznemu popytowi określonemu w ustawie OZE, doprowadziła do drastycznego spadku cen praw majątkowych, co może oznaczać, że za kilka miesięcy będą one całkowicie bezwartościowe. Ceny świadectw na sesjach w lipcu 2015 r. spadły poniżej 100 zł/MWh co, przy niskich cenach energii „czarnej”, dla większości producentów oznacza zejście poniżej progu rentowności. W ślad za szybką deprecjacją wartości świadectw w obrocie sesyjnym podążają ceny w kontraktach dwustronnych, czyli w transakcjach pozasesyjnych. </w:t>
      </w:r>
    </w:p>
    <w:p w:rsidR="007A5225" w:rsidRPr="007A5225" w:rsidRDefault="007A5225" w:rsidP="00DC0EA1">
      <w:pPr>
        <w:spacing w:after="120" w:line="288" w:lineRule="auto"/>
        <w:ind w:left="708"/>
        <w:jc w:val="both"/>
        <w:rPr>
          <w:rFonts w:asciiTheme="minorHAnsi" w:hAnsiTheme="minorHAnsi"/>
          <w:sz w:val="22"/>
          <w:szCs w:val="22"/>
        </w:rPr>
      </w:pPr>
      <w:r w:rsidRPr="007A5225">
        <w:rPr>
          <w:rFonts w:asciiTheme="minorHAnsi" w:hAnsiTheme="minorHAnsi"/>
          <w:sz w:val="22"/>
          <w:szCs w:val="22"/>
        </w:rPr>
        <w:t xml:space="preserve">Wielu inwestorom, szczególnie w farmy wiatrowe i biogazownie grozi utrata możliwości spłaty kredytów, a rynek producentów i dostawców biomasy praktycznie zanika, ponieważ wykorzystanie energetyczne biomasy stało się nieopłacalne. Na ryzyko poniesienia znacznych strat, a w konsekwencji konieczność zamykania instalacji wytwórczych (biomasa, biogaz) lub ich odsprzedaż (wiatr), narażeni są </w:t>
      </w:r>
      <w:r w:rsidRPr="007A5225">
        <w:rPr>
          <w:rFonts w:asciiTheme="minorHAnsi" w:hAnsiTheme="minorHAnsi"/>
          <w:sz w:val="22"/>
          <w:szCs w:val="22"/>
        </w:rPr>
        <w:lastRenderedPageBreak/>
        <w:t>szczególnie wytwórcy mali i niezależni, tj. niezintegrowani pionowo. Pomijanie tego problemu przez przedstawicieli rządu wskazuje na niezrozumienie jego istoty i długofalowych konsekwencji dla gospodarki. Należy podkreślić, że wśród przyczyn kryzysu są między innymi wadliwe, nieskorygowane w porę regulacje:</w:t>
      </w:r>
    </w:p>
    <w:p w:rsidR="007A5225" w:rsidRPr="007A5225" w:rsidRDefault="007A5225" w:rsidP="00DC0EA1">
      <w:pPr>
        <w:pStyle w:val="Akapitzlist"/>
        <w:numPr>
          <w:ilvl w:val="0"/>
          <w:numId w:val="30"/>
        </w:numPr>
        <w:spacing w:after="120" w:line="288" w:lineRule="auto"/>
        <w:ind w:left="1417" w:hanging="425"/>
        <w:jc w:val="both"/>
        <w:rPr>
          <w:rFonts w:asciiTheme="minorHAnsi" w:hAnsiTheme="minorHAnsi"/>
        </w:rPr>
      </w:pPr>
      <w:r w:rsidRPr="007A5225">
        <w:rPr>
          <w:rFonts w:asciiTheme="minorHAnsi" w:hAnsiTheme="minorHAnsi"/>
        </w:rPr>
        <w:t xml:space="preserve">otwarty i neutralny technologicznie charakter systemu wsparcia, który przyczynił się do zbyt szybkiego rozwoju niektórych technologii odnawialnych; </w:t>
      </w:r>
    </w:p>
    <w:p w:rsidR="007A5225" w:rsidRPr="007A5225" w:rsidRDefault="007A5225" w:rsidP="00DC0EA1">
      <w:pPr>
        <w:pStyle w:val="Akapitzlist"/>
        <w:numPr>
          <w:ilvl w:val="0"/>
          <w:numId w:val="30"/>
        </w:numPr>
        <w:spacing w:after="120" w:line="288" w:lineRule="auto"/>
        <w:ind w:left="1417" w:hanging="425"/>
        <w:jc w:val="both"/>
        <w:rPr>
          <w:rFonts w:asciiTheme="minorHAnsi" w:hAnsiTheme="minorHAnsi"/>
        </w:rPr>
      </w:pPr>
      <w:r w:rsidRPr="007A5225">
        <w:rPr>
          <w:rFonts w:asciiTheme="minorHAnsi" w:hAnsiTheme="minorHAnsi"/>
        </w:rPr>
        <w:t>brak ceny minimalnej świadectw pochodzenia;</w:t>
      </w:r>
    </w:p>
    <w:p w:rsidR="007A5225" w:rsidRPr="007A5225" w:rsidRDefault="007A5225" w:rsidP="00DC0EA1">
      <w:pPr>
        <w:pStyle w:val="Akapitzlist"/>
        <w:numPr>
          <w:ilvl w:val="0"/>
          <w:numId w:val="30"/>
        </w:numPr>
        <w:spacing w:after="120" w:line="288" w:lineRule="auto"/>
        <w:ind w:left="1417" w:hanging="425"/>
        <w:jc w:val="both"/>
        <w:rPr>
          <w:rFonts w:asciiTheme="minorHAnsi" w:hAnsiTheme="minorHAnsi"/>
        </w:rPr>
      </w:pPr>
      <w:r w:rsidRPr="007A5225">
        <w:rPr>
          <w:rFonts w:asciiTheme="minorHAnsi" w:hAnsiTheme="minorHAnsi"/>
        </w:rPr>
        <w:t>możliwość rozliczania obowiązku poprzez wniesienie opłaty zastępczej, mimo nadprodukcji energii odnawialnej;</w:t>
      </w:r>
    </w:p>
    <w:p w:rsidR="007A5225" w:rsidRPr="007A5225" w:rsidRDefault="007A5225" w:rsidP="00DC0EA1">
      <w:pPr>
        <w:pStyle w:val="Akapitzlist"/>
        <w:numPr>
          <w:ilvl w:val="0"/>
          <w:numId w:val="30"/>
        </w:numPr>
        <w:spacing w:after="120" w:line="288" w:lineRule="auto"/>
        <w:ind w:left="1417" w:hanging="425"/>
        <w:jc w:val="both"/>
        <w:rPr>
          <w:rFonts w:asciiTheme="minorHAnsi" w:hAnsiTheme="minorHAnsi"/>
        </w:rPr>
      </w:pPr>
      <w:r w:rsidRPr="007A5225">
        <w:rPr>
          <w:rFonts w:asciiTheme="minorHAnsi" w:hAnsiTheme="minorHAnsi"/>
        </w:rPr>
        <w:t>nieprecyzyjne przepisy dotyczące dokumentowania pochodzenia biomasy leśnej, które przyczyniły się do powstania wielomiesięcznych opóźnień w wydawaniu przez Urząd Regulacji Energetyki świadectw pochodzenia energii wyprodukowanej z biomasy;</w:t>
      </w:r>
    </w:p>
    <w:p w:rsidR="007A5225" w:rsidRPr="007A5225" w:rsidRDefault="007A5225" w:rsidP="00DC0EA1">
      <w:pPr>
        <w:pStyle w:val="Akapitzlist"/>
        <w:numPr>
          <w:ilvl w:val="0"/>
          <w:numId w:val="30"/>
        </w:numPr>
        <w:spacing w:after="120" w:line="288" w:lineRule="auto"/>
        <w:ind w:left="1417" w:hanging="425"/>
        <w:jc w:val="both"/>
        <w:rPr>
          <w:rFonts w:asciiTheme="minorHAnsi" w:hAnsiTheme="minorHAnsi"/>
        </w:rPr>
      </w:pPr>
      <w:r w:rsidRPr="007A5225">
        <w:rPr>
          <w:rFonts w:asciiTheme="minorHAnsi" w:hAnsiTheme="minorHAnsi"/>
        </w:rPr>
        <w:t xml:space="preserve">brak transparentnej, bieżącej informacji rynkowej o ilości wyprodukowanej energii odnawialnej w danym roku i rozpatrywanych wnioskach o wydanie świadectw pochodzenia. </w:t>
      </w:r>
    </w:p>
    <w:p w:rsidR="007A5225" w:rsidRPr="007A5225" w:rsidRDefault="007A5225" w:rsidP="00DC0EA1">
      <w:pPr>
        <w:spacing w:after="120" w:line="288" w:lineRule="auto"/>
        <w:ind w:left="708"/>
        <w:jc w:val="both"/>
        <w:rPr>
          <w:rFonts w:asciiTheme="minorHAnsi" w:hAnsiTheme="minorHAnsi"/>
          <w:sz w:val="22"/>
          <w:szCs w:val="22"/>
        </w:rPr>
      </w:pPr>
      <w:r w:rsidRPr="007A5225">
        <w:rPr>
          <w:rFonts w:asciiTheme="minorHAnsi" w:hAnsiTheme="minorHAnsi"/>
          <w:sz w:val="22"/>
          <w:szCs w:val="22"/>
        </w:rPr>
        <w:t xml:space="preserve">Biorąc pod uwagę, że rozwój OZE uzależniony był od istnienia systemu wsparcia, w tym poziomu popytu regulowanego w rozporządzeniu Ministra Gospodarki, nie można w tym przypadku mówić o „zadziałaniu mechanizmów rynkowych”. Bez wdrożenia obowiązku zakupu energii z OZE i wdrożenia zachęt finansowych, przedsiębiorcy nie zrealizowaliby żadnej inwestycji w OZE na warunkach czysto rynkowych. Stąd, uzasadniona jest interwencja rządu, a przynajmniej podjęcie poważnej dyskusji nad możliwymi sposobami rozwiązania problemu. </w:t>
      </w:r>
    </w:p>
    <w:p w:rsidR="007A5225" w:rsidRPr="007A5225" w:rsidRDefault="007A5225" w:rsidP="00DC0EA1">
      <w:pPr>
        <w:spacing w:after="120" w:line="288" w:lineRule="auto"/>
        <w:ind w:left="708"/>
        <w:jc w:val="both"/>
        <w:rPr>
          <w:rFonts w:asciiTheme="minorHAnsi" w:hAnsiTheme="minorHAnsi"/>
          <w:sz w:val="22"/>
          <w:szCs w:val="22"/>
        </w:rPr>
      </w:pPr>
      <w:r w:rsidRPr="007A5225">
        <w:rPr>
          <w:rFonts w:asciiTheme="minorHAnsi" w:hAnsiTheme="minorHAnsi"/>
          <w:sz w:val="22"/>
          <w:szCs w:val="22"/>
        </w:rPr>
        <w:t xml:space="preserve">Zmiany w systemie świadectw pochodzenia, które wchodzą w życie od 1 stycznia 2016 r. nie wystarczą, wbrew opinii Ministerstwa Gospodarki, do zlikwidowania istniejącej nadwyżki świadectw pochodzenia. Podstawowym dostawcą nowych świadectw pochodzenia w 2016 r. będą farmy wiatrowe, których roczna produkcja wyniesie prawie 10 TWh. Nawet jeżeli całe współspalanie zostałoby wstrzymane, </w:t>
      </w:r>
      <w:r w:rsidRPr="007A5225">
        <w:rPr>
          <w:rFonts w:asciiTheme="minorHAnsi" w:hAnsiTheme="minorHAnsi"/>
          <w:sz w:val="22"/>
          <w:szCs w:val="22"/>
        </w:rPr>
        <w:lastRenderedPageBreak/>
        <w:t xml:space="preserve">łącznie z tzw. dedykowanym, to nadwyżka świadectw na koniec 2016 r. nadal będzie wynosić ok. 12 TWh. </w:t>
      </w:r>
    </w:p>
    <w:p w:rsidR="007A5225" w:rsidRPr="007A5225" w:rsidRDefault="007A5225" w:rsidP="00DC0EA1">
      <w:pPr>
        <w:spacing w:after="120" w:line="288" w:lineRule="auto"/>
        <w:ind w:left="708"/>
        <w:jc w:val="both"/>
        <w:rPr>
          <w:rFonts w:asciiTheme="minorHAnsi" w:hAnsiTheme="minorHAnsi"/>
          <w:sz w:val="22"/>
          <w:szCs w:val="22"/>
        </w:rPr>
      </w:pPr>
      <w:r w:rsidRPr="007A5225">
        <w:rPr>
          <w:rFonts w:asciiTheme="minorHAnsi" w:hAnsiTheme="minorHAnsi"/>
          <w:sz w:val="22"/>
          <w:szCs w:val="22"/>
        </w:rPr>
        <w:t xml:space="preserve">Wcześniej jednak, zapaść cenowa świadectw pochodzenia spowoduje wyłączanie również bloków opalanych w 100% biomasą (tzw. Zielonych Bloków), które zostały wybudowane nakładem ponad 3 miliardów złotych. Wymuszone wyłączenie tych jednostek lub ich przebudowa na węgiel, w świetle przyjętego przez Polskę zobowiązania do redukcji emisji CO2 o 40% do 2030 r. oraz prac nad światowym porozumieniem klimatycznym, byłoby wizerunkową porażką Polski. </w:t>
      </w:r>
    </w:p>
    <w:p w:rsidR="007A5225" w:rsidRPr="007A5225" w:rsidRDefault="007A5225" w:rsidP="00DC0EA1">
      <w:pPr>
        <w:spacing w:after="120" w:line="288" w:lineRule="auto"/>
        <w:ind w:left="708"/>
        <w:jc w:val="both"/>
        <w:rPr>
          <w:rFonts w:asciiTheme="minorHAnsi" w:hAnsiTheme="minorHAnsi"/>
          <w:sz w:val="22"/>
          <w:szCs w:val="22"/>
        </w:rPr>
      </w:pPr>
      <w:r w:rsidRPr="007A5225">
        <w:rPr>
          <w:rFonts w:asciiTheme="minorHAnsi" w:hAnsiTheme="minorHAnsi"/>
          <w:sz w:val="22"/>
          <w:szCs w:val="22"/>
        </w:rPr>
        <w:t xml:space="preserve">Dlatego też, kluczowym dla dalszego funkcjonowania wytwórców energii odnawialnej będzie określenie przez Ministra Gospodarki poziomu obowiązkowego udziału energii odnawialnej w sprzedaży do odbiorców końcowych w latach 2017-2020, na możliwie wysokim poziomie, ok. 19-20%, przynajmniej w pierwszych dwóch latach tego okresu. Rada OZE przy Konfederacji Lewiatan, zaproponowała zmianę legislacyjna w art. 60 ustawy o OZE, która pozwoliłaby na kontrolowaną redukcję nadwyżki i powolny powrót cen praw majątkowych do poziomu zapewniającego rentowność instalacji OZE. Zmiana ta polega w praktyce na utrzymaniu obowiązkowego udziału w wysokości 20% w do czasu powrotu cen świadectw do poziomu ok. 60% opłaty zastępczej. Inne możliwe rozwiązanie to znaczne przyspieszenie przechodzenia istniejących instalacji do systemu aukcyjnego, tak aby proces ten objął co najmniej 2 TWh produkowanej energii odnawialnej rocznie. </w:t>
      </w:r>
    </w:p>
    <w:p w:rsidR="007A5225" w:rsidRPr="007A5225" w:rsidRDefault="007A5225" w:rsidP="00DC0EA1">
      <w:pPr>
        <w:spacing w:after="120" w:line="288" w:lineRule="auto"/>
        <w:ind w:left="708"/>
        <w:jc w:val="both"/>
        <w:rPr>
          <w:rFonts w:asciiTheme="minorHAnsi" w:hAnsiTheme="minorHAnsi"/>
          <w:sz w:val="22"/>
          <w:szCs w:val="22"/>
        </w:rPr>
      </w:pPr>
      <w:r w:rsidRPr="007A5225">
        <w:rPr>
          <w:rFonts w:asciiTheme="minorHAnsi" w:hAnsiTheme="minorHAnsi"/>
          <w:sz w:val="22"/>
          <w:szCs w:val="22"/>
        </w:rPr>
        <w:t xml:space="preserve">W związku z powyższym, apelujemy do Ministra Gospodarki o niezwłoczne potwierdzenie intencji doprowadzenia do równowagi popytu i podaży świadectw pochodzenia w okresie do 2020 r. i podjęcie działań legislacyjnych dla wprowadzenia postulowanej zmiany w ustawie OZE. Taki sygnał zapobiegłby dalszej panicznej wyprzedaży świadectw pochodzenia i przyczyniłby się do stabilizacji rynku producentów energii z OZE. Byłby też istotnym argumentem przemawiającym za równoprawnym traktowaniem podmiotów krajowych i zagranicznych na rynku energii elektrycznej i odnawialnych źródeł energii. </w:t>
      </w:r>
    </w:p>
    <w:p w:rsidR="007A5225" w:rsidRDefault="007A5225" w:rsidP="00DC0EA1">
      <w:pPr>
        <w:tabs>
          <w:tab w:val="center" w:pos="4677"/>
        </w:tabs>
        <w:spacing w:after="120" w:line="288" w:lineRule="auto"/>
        <w:ind w:left="708"/>
        <w:jc w:val="both"/>
        <w:rPr>
          <w:rFonts w:asciiTheme="minorHAnsi" w:hAnsiTheme="minorHAnsi" w:cstheme="minorHAnsi"/>
        </w:rPr>
      </w:pPr>
    </w:p>
    <w:p w:rsidR="007A5225" w:rsidRDefault="007A5225" w:rsidP="00DC0EA1">
      <w:pPr>
        <w:tabs>
          <w:tab w:val="center" w:pos="4677"/>
        </w:tabs>
        <w:spacing w:after="120" w:line="288" w:lineRule="auto"/>
        <w:ind w:left="708"/>
        <w:jc w:val="both"/>
        <w:rPr>
          <w:rFonts w:asciiTheme="minorHAnsi" w:hAnsiTheme="minorHAnsi" w:cstheme="minorHAnsi"/>
        </w:rPr>
      </w:pPr>
    </w:p>
    <w:p w:rsidR="007A5225" w:rsidRDefault="007A5225" w:rsidP="00DC0EA1">
      <w:pPr>
        <w:tabs>
          <w:tab w:val="center" w:pos="4677"/>
        </w:tabs>
        <w:spacing w:after="120" w:line="288" w:lineRule="auto"/>
        <w:ind w:left="708"/>
        <w:jc w:val="both"/>
        <w:rPr>
          <w:rFonts w:asciiTheme="minorHAnsi" w:hAnsiTheme="minorHAnsi" w:cstheme="minorHAnsi"/>
        </w:rPr>
      </w:pPr>
    </w:p>
    <w:p w:rsidR="00A174E4" w:rsidRPr="007A5225" w:rsidRDefault="00A174E4" w:rsidP="00DC0EA1">
      <w:pPr>
        <w:tabs>
          <w:tab w:val="center" w:pos="4677"/>
        </w:tabs>
        <w:spacing w:after="120" w:line="288" w:lineRule="auto"/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A5225">
        <w:rPr>
          <w:rFonts w:asciiTheme="minorHAnsi" w:hAnsiTheme="minorHAnsi" w:cstheme="minorHAnsi"/>
          <w:sz w:val="22"/>
          <w:szCs w:val="22"/>
          <w:highlight w:val="yellow"/>
        </w:rPr>
        <w:t>Z wyrazami szacunku,</w:t>
      </w:r>
    </w:p>
    <w:p w:rsidR="00DF4F5D" w:rsidRPr="001430DA" w:rsidRDefault="00DF4F5D" w:rsidP="00DC0EA1">
      <w:pPr>
        <w:spacing w:after="120" w:line="288" w:lineRule="auto"/>
        <w:ind w:left="1417"/>
        <w:contextualSpacing/>
        <w:rPr>
          <w:rFonts w:asciiTheme="minorHAnsi" w:hAnsiTheme="minorHAnsi"/>
          <w:b/>
        </w:rPr>
      </w:pPr>
    </w:p>
    <w:p w:rsidR="00A83DED" w:rsidRPr="001430DA" w:rsidRDefault="003C3F08" w:rsidP="00DC0EA1">
      <w:pPr>
        <w:spacing w:line="288" w:lineRule="auto"/>
        <w:ind w:left="709"/>
        <w:contextualSpacing/>
        <w:jc w:val="both"/>
        <w:rPr>
          <w:rFonts w:asciiTheme="minorHAnsi" w:hAnsiTheme="minorHAnsi"/>
          <w:b/>
        </w:rPr>
      </w:pPr>
      <w:r w:rsidRPr="001430DA">
        <w:rPr>
          <w:rFonts w:asciiTheme="minorHAnsi" w:hAnsiTheme="minorHAnsi"/>
          <w:b/>
        </w:rPr>
        <w:t>Henryka Bochniarz</w:t>
      </w:r>
    </w:p>
    <w:p w:rsidR="00A174E4" w:rsidRPr="001430DA" w:rsidRDefault="003C3F08" w:rsidP="00DC0EA1">
      <w:pPr>
        <w:spacing w:line="288" w:lineRule="auto"/>
        <w:ind w:left="709"/>
        <w:contextualSpacing/>
        <w:jc w:val="both"/>
        <w:rPr>
          <w:rFonts w:asciiTheme="minorHAnsi" w:hAnsiTheme="minorHAnsi"/>
          <w:b/>
        </w:rPr>
      </w:pPr>
      <w:r w:rsidRPr="001430DA">
        <w:rPr>
          <w:rFonts w:asciiTheme="minorHAnsi" w:hAnsiTheme="minorHAnsi"/>
          <w:b/>
        </w:rPr>
        <w:t xml:space="preserve">Prezydent </w:t>
      </w:r>
    </w:p>
    <w:p w:rsidR="000820E9" w:rsidRPr="001430DA" w:rsidRDefault="00A83DED" w:rsidP="00DC0EA1">
      <w:pPr>
        <w:spacing w:line="288" w:lineRule="auto"/>
        <w:ind w:left="709"/>
        <w:contextualSpacing/>
        <w:jc w:val="both"/>
        <w:rPr>
          <w:rFonts w:asciiTheme="minorHAnsi" w:hAnsiTheme="minorHAnsi"/>
          <w:b/>
        </w:rPr>
      </w:pPr>
      <w:r w:rsidRPr="001430DA">
        <w:rPr>
          <w:rFonts w:asciiTheme="minorHAnsi" w:hAnsiTheme="minorHAnsi"/>
          <w:b/>
        </w:rPr>
        <w:t>Konfederacji Lewiatan</w:t>
      </w:r>
    </w:p>
    <w:p w:rsidR="00FA2EDB" w:rsidRPr="001430DA" w:rsidRDefault="00FA2EDB" w:rsidP="00DC0EA1">
      <w:pPr>
        <w:spacing w:after="120" w:line="288" w:lineRule="auto"/>
        <w:ind w:left="709"/>
        <w:contextualSpacing/>
        <w:jc w:val="both"/>
        <w:rPr>
          <w:rFonts w:asciiTheme="minorHAnsi" w:hAnsiTheme="minorHAnsi"/>
          <w:b/>
        </w:rPr>
      </w:pPr>
    </w:p>
    <w:p w:rsidR="00C750D2" w:rsidRDefault="00C750D2" w:rsidP="00C750D2">
      <w:pPr>
        <w:ind w:left="2124" w:hanging="1416"/>
        <w:rPr>
          <w:rFonts w:asciiTheme="minorHAnsi" w:hAnsiTheme="minorHAnsi"/>
          <w:b/>
        </w:rPr>
      </w:pPr>
    </w:p>
    <w:sectPr w:rsidR="00C750D2" w:rsidSect="009D4935">
      <w:headerReference w:type="default" r:id="rId8"/>
      <w:footerReference w:type="default" r:id="rId9"/>
      <w:pgSz w:w="11906" w:h="16838" w:code="9"/>
      <w:pgMar w:top="851" w:right="991" w:bottom="2269" w:left="1134" w:header="0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FA7" w:rsidRDefault="00C82FA7">
      <w:r>
        <w:separator/>
      </w:r>
    </w:p>
  </w:endnote>
  <w:endnote w:type="continuationSeparator" w:id="0">
    <w:p w:rsidR="00C82FA7" w:rsidRDefault="00C8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E45" w:rsidRDefault="006255E5" w:rsidP="00912E45">
    <w:pPr>
      <w:pStyle w:val="Stopka"/>
      <w:jc w:val="right"/>
      <w:rPr>
        <w:rFonts w:asciiTheme="minorHAnsi" w:hAnsiTheme="minorHAnsi"/>
        <w:sz w:val="20"/>
        <w:szCs w:val="20"/>
      </w:rPr>
    </w:pPr>
    <w:r w:rsidRPr="005F32E7">
      <w:rPr>
        <w:rFonts w:ascii="Arial" w:hAnsi="Arial" w:cs="Arial"/>
        <w:noProof/>
        <w:sz w:val="14"/>
        <w:szCs w:val="14"/>
      </w:rPr>
      <w:drawing>
        <wp:inline distT="0" distB="0" distL="0" distR="0" wp14:anchorId="629D9AF8" wp14:editId="534F109B">
          <wp:extent cx="1164590" cy="201295"/>
          <wp:effectExtent l="0" t="0" r="0" b="8255"/>
          <wp:docPr id="14" name="Obraz 1" descr="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4"/>
        <w:szCs w:val="14"/>
      </w:rPr>
      <w:drawing>
        <wp:inline distT="0" distB="0" distL="0" distR="0" wp14:anchorId="1B3CF575" wp14:editId="0CA1599B">
          <wp:extent cx="5912026" cy="814387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9115" cy="823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FA7" w:rsidRDefault="00C82FA7">
      <w:r>
        <w:separator/>
      </w:r>
    </w:p>
  </w:footnote>
  <w:footnote w:type="continuationSeparator" w:id="0">
    <w:p w:rsidR="00C82FA7" w:rsidRDefault="00C82F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F9A" w:rsidRDefault="008D5B7E" w:rsidP="008D5B7E">
    <w:pPr>
      <w:pStyle w:val="Nagwek"/>
      <w:tabs>
        <w:tab w:val="clear" w:pos="4536"/>
        <w:tab w:val="clear" w:pos="9072"/>
        <w:tab w:val="right" w:pos="10686"/>
      </w:tabs>
      <w:ind w:right="-140" w:hanging="142"/>
      <w:jc w:val="center"/>
    </w:pPr>
    <w:r>
      <w:t xml:space="preserve">                                                                                                                                            </w:t>
    </w:r>
  </w:p>
  <w:p w:rsidR="008D5B7E" w:rsidRDefault="008D5B7E" w:rsidP="00711C38">
    <w:pPr>
      <w:pStyle w:val="Nagwek"/>
      <w:tabs>
        <w:tab w:val="clear" w:pos="4536"/>
        <w:tab w:val="clear" w:pos="9072"/>
        <w:tab w:val="right" w:pos="10686"/>
      </w:tabs>
      <w:ind w:right="-140" w:hanging="142"/>
    </w:pPr>
  </w:p>
  <w:p w:rsidR="00635012" w:rsidRDefault="00635012" w:rsidP="00711C38">
    <w:pPr>
      <w:pStyle w:val="Nagwek"/>
      <w:tabs>
        <w:tab w:val="clear" w:pos="4536"/>
        <w:tab w:val="clear" w:pos="9072"/>
        <w:tab w:val="right" w:pos="10686"/>
      </w:tabs>
      <w:ind w:right="-140" w:hanging="142"/>
    </w:pPr>
  </w:p>
  <w:tbl>
    <w:tblPr>
      <w:tblStyle w:val="Tabela-Siatka"/>
      <w:tblW w:w="9639" w:type="dxa"/>
      <w:tblInd w:w="426" w:type="dxa"/>
      <w:tblBorders>
        <w:top w:val="none" w:sz="0" w:space="0" w:color="auto"/>
        <w:left w:val="none" w:sz="0" w:space="0" w:color="auto"/>
        <w:bottom w:val="single" w:sz="8" w:space="0" w:color="00B0F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8"/>
      <w:gridCol w:w="6021"/>
    </w:tblGrid>
    <w:tr w:rsidR="008D5B7E" w:rsidTr="00010EFB">
      <w:tc>
        <w:tcPr>
          <w:tcW w:w="3618" w:type="dxa"/>
          <w:tcBorders>
            <w:bottom w:val="nil"/>
          </w:tcBorders>
        </w:tcPr>
        <w:p w:rsidR="008D5B7E" w:rsidRDefault="00EC66AB" w:rsidP="00711C38">
          <w:pPr>
            <w:pStyle w:val="Nagwek"/>
            <w:tabs>
              <w:tab w:val="clear" w:pos="4536"/>
              <w:tab w:val="clear" w:pos="9072"/>
              <w:tab w:val="right" w:pos="10686"/>
            </w:tabs>
            <w:ind w:right="-140"/>
          </w:pPr>
          <w:r w:rsidRPr="00DE7F9D">
            <w:rPr>
              <w:noProof/>
            </w:rPr>
            <w:drawing>
              <wp:inline distT="0" distB="0" distL="0" distR="0" wp14:anchorId="292D285B" wp14:editId="4471F3AA">
                <wp:extent cx="713105" cy="932815"/>
                <wp:effectExtent l="0" t="0" r="0" b="635"/>
                <wp:docPr id="13" name="Obraz 13" descr="Papier_Lewiatan_10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62" descr="Papier_Lewiatan_10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932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1" w:type="dxa"/>
          <w:tcBorders>
            <w:bottom w:val="nil"/>
          </w:tcBorders>
        </w:tcPr>
        <w:p w:rsidR="008D5B7E" w:rsidRDefault="008D5B7E" w:rsidP="008D5B7E">
          <w:pPr>
            <w:pStyle w:val="Nagwek"/>
            <w:tabs>
              <w:tab w:val="clear" w:pos="4536"/>
              <w:tab w:val="clear" w:pos="9072"/>
              <w:tab w:val="right" w:pos="10686"/>
            </w:tabs>
            <w:ind w:right="-140"/>
            <w:jc w:val="right"/>
          </w:pPr>
        </w:p>
      </w:tc>
    </w:tr>
  </w:tbl>
  <w:p w:rsidR="00711C38" w:rsidRPr="00C80C61" w:rsidRDefault="00711C38" w:rsidP="00711C38">
    <w:pPr>
      <w:pStyle w:val="Nagwek"/>
      <w:tabs>
        <w:tab w:val="clear" w:pos="4536"/>
        <w:tab w:val="clear" w:pos="9072"/>
        <w:tab w:val="right" w:pos="10686"/>
      </w:tabs>
      <w:ind w:right="-140" w:hanging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51EC"/>
    <w:multiLevelType w:val="hybridMultilevel"/>
    <w:tmpl w:val="434E68AE"/>
    <w:lvl w:ilvl="0" w:tplc="726C17E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61451DF"/>
    <w:multiLevelType w:val="hybridMultilevel"/>
    <w:tmpl w:val="C5F013C0"/>
    <w:lvl w:ilvl="0" w:tplc="A9F0E67C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4380C"/>
    <w:multiLevelType w:val="hybridMultilevel"/>
    <w:tmpl w:val="D9F8931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4750812"/>
    <w:multiLevelType w:val="hybridMultilevel"/>
    <w:tmpl w:val="8E1C6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35B7D"/>
    <w:multiLevelType w:val="hybridMultilevel"/>
    <w:tmpl w:val="634E1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E11DA"/>
    <w:multiLevelType w:val="hybridMultilevel"/>
    <w:tmpl w:val="45B6A57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ACD6A45"/>
    <w:multiLevelType w:val="hybridMultilevel"/>
    <w:tmpl w:val="C1C42654"/>
    <w:lvl w:ilvl="0" w:tplc="CF3E39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7AAF"/>
    <w:multiLevelType w:val="hybridMultilevel"/>
    <w:tmpl w:val="299A4A3C"/>
    <w:lvl w:ilvl="0" w:tplc="35100E4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8E4CF2"/>
    <w:multiLevelType w:val="hybridMultilevel"/>
    <w:tmpl w:val="731463F8"/>
    <w:lvl w:ilvl="0" w:tplc="0F70C1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973FB"/>
    <w:multiLevelType w:val="hybridMultilevel"/>
    <w:tmpl w:val="04881F9C"/>
    <w:lvl w:ilvl="0" w:tplc="B25E5CD0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D4112"/>
    <w:multiLevelType w:val="hybridMultilevel"/>
    <w:tmpl w:val="41B4EC5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405666E"/>
    <w:multiLevelType w:val="hybridMultilevel"/>
    <w:tmpl w:val="A6F0DB5A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" w15:restartNumberingAfterBreak="0">
    <w:nsid w:val="364952E0"/>
    <w:multiLevelType w:val="hybridMultilevel"/>
    <w:tmpl w:val="0D3C2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04F7F"/>
    <w:multiLevelType w:val="hybridMultilevel"/>
    <w:tmpl w:val="18F26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80CD2"/>
    <w:multiLevelType w:val="hybridMultilevel"/>
    <w:tmpl w:val="30F0F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902AE"/>
    <w:multiLevelType w:val="hybridMultilevel"/>
    <w:tmpl w:val="CDA0255E"/>
    <w:lvl w:ilvl="0" w:tplc="BC102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4A0BF2"/>
    <w:multiLevelType w:val="hybridMultilevel"/>
    <w:tmpl w:val="A3BCE40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C676B"/>
    <w:multiLevelType w:val="hybridMultilevel"/>
    <w:tmpl w:val="83BAF01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85C1897"/>
    <w:multiLevelType w:val="hybridMultilevel"/>
    <w:tmpl w:val="3C6412F0"/>
    <w:lvl w:ilvl="0" w:tplc="DC80CDF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80EB9"/>
    <w:multiLevelType w:val="hybridMultilevel"/>
    <w:tmpl w:val="328A3F70"/>
    <w:lvl w:ilvl="0" w:tplc="A5787A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B6801"/>
    <w:multiLevelType w:val="hybridMultilevel"/>
    <w:tmpl w:val="9892B9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7D1810"/>
    <w:multiLevelType w:val="hybridMultilevel"/>
    <w:tmpl w:val="C1C42654"/>
    <w:lvl w:ilvl="0" w:tplc="CF3E39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81C10"/>
    <w:multiLevelType w:val="hybridMultilevel"/>
    <w:tmpl w:val="C074CFE4"/>
    <w:lvl w:ilvl="0" w:tplc="BE52CB5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46258D"/>
    <w:multiLevelType w:val="hybridMultilevel"/>
    <w:tmpl w:val="B380C06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7626E5A"/>
    <w:multiLevelType w:val="hybridMultilevel"/>
    <w:tmpl w:val="77C094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9E3FBF"/>
    <w:multiLevelType w:val="hybridMultilevel"/>
    <w:tmpl w:val="9B38200A"/>
    <w:lvl w:ilvl="0" w:tplc="18B67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ani" w:hAnsi="Vani" w:hint="default"/>
      </w:rPr>
    </w:lvl>
    <w:lvl w:ilvl="1" w:tplc="72F6B8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1619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E41D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605A5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62227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6370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425CA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B88A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C1FB1"/>
    <w:multiLevelType w:val="hybridMultilevel"/>
    <w:tmpl w:val="B5B0CF12"/>
    <w:lvl w:ilvl="0" w:tplc="9BD0FD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AD4E0A"/>
    <w:multiLevelType w:val="hybridMultilevel"/>
    <w:tmpl w:val="5E9CF704"/>
    <w:lvl w:ilvl="0" w:tplc="282EC79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6B28F5"/>
    <w:multiLevelType w:val="hybridMultilevel"/>
    <w:tmpl w:val="D0AAC38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3"/>
  </w:num>
  <w:num w:numId="5">
    <w:abstractNumId w:val="16"/>
  </w:num>
  <w:num w:numId="6">
    <w:abstractNumId w:val="5"/>
  </w:num>
  <w:num w:numId="7">
    <w:abstractNumId w:val="2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5"/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1"/>
  </w:num>
  <w:num w:numId="18">
    <w:abstractNumId w:val="1"/>
  </w:num>
  <w:num w:numId="19">
    <w:abstractNumId w:val="19"/>
  </w:num>
  <w:num w:numId="20">
    <w:abstractNumId w:val="2"/>
  </w:num>
  <w:num w:numId="21">
    <w:abstractNumId w:val="0"/>
  </w:num>
  <w:num w:numId="22">
    <w:abstractNumId w:val="4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3"/>
  </w:num>
  <w:num w:numId="26">
    <w:abstractNumId w:val="8"/>
  </w:num>
  <w:num w:numId="27">
    <w:abstractNumId w:val="6"/>
  </w:num>
  <w:num w:numId="28">
    <w:abstractNumId w:val="13"/>
  </w:num>
  <w:num w:numId="29">
    <w:abstractNumId w:val="10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5b5b5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9D"/>
    <w:rsid w:val="00010EFB"/>
    <w:rsid w:val="00026755"/>
    <w:rsid w:val="000356DC"/>
    <w:rsid w:val="00037C34"/>
    <w:rsid w:val="0005551C"/>
    <w:rsid w:val="0006293D"/>
    <w:rsid w:val="0006476D"/>
    <w:rsid w:val="00070402"/>
    <w:rsid w:val="000704B0"/>
    <w:rsid w:val="000820E9"/>
    <w:rsid w:val="000948B6"/>
    <w:rsid w:val="000C5695"/>
    <w:rsid w:val="000D1548"/>
    <w:rsid w:val="000D2498"/>
    <w:rsid w:val="000D6E3A"/>
    <w:rsid w:val="0010560B"/>
    <w:rsid w:val="001158CC"/>
    <w:rsid w:val="00126755"/>
    <w:rsid w:val="00140EE9"/>
    <w:rsid w:val="00142A26"/>
    <w:rsid w:val="001430DA"/>
    <w:rsid w:val="00151510"/>
    <w:rsid w:val="001537F4"/>
    <w:rsid w:val="00156B87"/>
    <w:rsid w:val="00160AE3"/>
    <w:rsid w:val="001705A0"/>
    <w:rsid w:val="00174F74"/>
    <w:rsid w:val="00195FCB"/>
    <w:rsid w:val="001A3696"/>
    <w:rsid w:val="001A421A"/>
    <w:rsid w:val="001A4BEC"/>
    <w:rsid w:val="001A5373"/>
    <w:rsid w:val="001A6339"/>
    <w:rsid w:val="001A65FB"/>
    <w:rsid w:val="001D720D"/>
    <w:rsid w:val="001F0FAE"/>
    <w:rsid w:val="0021158F"/>
    <w:rsid w:val="002145E7"/>
    <w:rsid w:val="0021637B"/>
    <w:rsid w:val="00225D6C"/>
    <w:rsid w:val="002427FE"/>
    <w:rsid w:val="00247994"/>
    <w:rsid w:val="002534E0"/>
    <w:rsid w:val="0027569E"/>
    <w:rsid w:val="0027605A"/>
    <w:rsid w:val="002819A0"/>
    <w:rsid w:val="00284B3F"/>
    <w:rsid w:val="00293803"/>
    <w:rsid w:val="00297CB8"/>
    <w:rsid w:val="002A1BB1"/>
    <w:rsid w:val="002A60D0"/>
    <w:rsid w:val="002A71C6"/>
    <w:rsid w:val="002B081E"/>
    <w:rsid w:val="002B6053"/>
    <w:rsid w:val="002B637F"/>
    <w:rsid w:val="002C7631"/>
    <w:rsid w:val="002E5354"/>
    <w:rsid w:val="002F78D1"/>
    <w:rsid w:val="00323D81"/>
    <w:rsid w:val="0033172F"/>
    <w:rsid w:val="0033233D"/>
    <w:rsid w:val="00340368"/>
    <w:rsid w:val="003615B7"/>
    <w:rsid w:val="00371CCC"/>
    <w:rsid w:val="00384845"/>
    <w:rsid w:val="003A458B"/>
    <w:rsid w:val="003C3F08"/>
    <w:rsid w:val="003C603C"/>
    <w:rsid w:val="003D7A40"/>
    <w:rsid w:val="00403ADA"/>
    <w:rsid w:val="004041DB"/>
    <w:rsid w:val="00412272"/>
    <w:rsid w:val="00420740"/>
    <w:rsid w:val="0044238D"/>
    <w:rsid w:val="0044370F"/>
    <w:rsid w:val="00467DB7"/>
    <w:rsid w:val="00477521"/>
    <w:rsid w:val="004A4BE0"/>
    <w:rsid w:val="004B2A20"/>
    <w:rsid w:val="004B7B5C"/>
    <w:rsid w:val="004C7372"/>
    <w:rsid w:val="004D2D26"/>
    <w:rsid w:val="004E4724"/>
    <w:rsid w:val="004E658B"/>
    <w:rsid w:val="004E658D"/>
    <w:rsid w:val="004F24EA"/>
    <w:rsid w:val="004F7309"/>
    <w:rsid w:val="00520D57"/>
    <w:rsid w:val="00525BE4"/>
    <w:rsid w:val="005262E0"/>
    <w:rsid w:val="00532959"/>
    <w:rsid w:val="0054718A"/>
    <w:rsid w:val="00550390"/>
    <w:rsid w:val="0055154D"/>
    <w:rsid w:val="0055384D"/>
    <w:rsid w:val="005558D7"/>
    <w:rsid w:val="00561DB4"/>
    <w:rsid w:val="00574CF7"/>
    <w:rsid w:val="00575144"/>
    <w:rsid w:val="00576998"/>
    <w:rsid w:val="00591753"/>
    <w:rsid w:val="00593317"/>
    <w:rsid w:val="005947BA"/>
    <w:rsid w:val="005B6508"/>
    <w:rsid w:val="005C3BF9"/>
    <w:rsid w:val="005C7A55"/>
    <w:rsid w:val="005D304E"/>
    <w:rsid w:val="005E6480"/>
    <w:rsid w:val="005F1BD8"/>
    <w:rsid w:val="005F1DA0"/>
    <w:rsid w:val="0060123F"/>
    <w:rsid w:val="0060276A"/>
    <w:rsid w:val="00611901"/>
    <w:rsid w:val="006255E5"/>
    <w:rsid w:val="00635012"/>
    <w:rsid w:val="00671D09"/>
    <w:rsid w:val="00671EAA"/>
    <w:rsid w:val="00673DB9"/>
    <w:rsid w:val="00674724"/>
    <w:rsid w:val="006B362A"/>
    <w:rsid w:val="006C6129"/>
    <w:rsid w:val="006D4D2D"/>
    <w:rsid w:val="006D76B2"/>
    <w:rsid w:val="006E13A3"/>
    <w:rsid w:val="006E5333"/>
    <w:rsid w:val="006F5225"/>
    <w:rsid w:val="006F5821"/>
    <w:rsid w:val="00706737"/>
    <w:rsid w:val="00707F2E"/>
    <w:rsid w:val="00711C38"/>
    <w:rsid w:val="007151C1"/>
    <w:rsid w:val="0072064C"/>
    <w:rsid w:val="00723D50"/>
    <w:rsid w:val="007273B5"/>
    <w:rsid w:val="00734DF2"/>
    <w:rsid w:val="007357CB"/>
    <w:rsid w:val="00743250"/>
    <w:rsid w:val="00744B56"/>
    <w:rsid w:val="0075202F"/>
    <w:rsid w:val="007527AF"/>
    <w:rsid w:val="00761980"/>
    <w:rsid w:val="00763EF8"/>
    <w:rsid w:val="007706FE"/>
    <w:rsid w:val="00785365"/>
    <w:rsid w:val="007A4B44"/>
    <w:rsid w:val="007A5225"/>
    <w:rsid w:val="007C1B9C"/>
    <w:rsid w:val="007D0861"/>
    <w:rsid w:val="007F1431"/>
    <w:rsid w:val="007F4B25"/>
    <w:rsid w:val="007F515E"/>
    <w:rsid w:val="008012E1"/>
    <w:rsid w:val="00802C1E"/>
    <w:rsid w:val="00821A9A"/>
    <w:rsid w:val="00832AD3"/>
    <w:rsid w:val="00833F29"/>
    <w:rsid w:val="008342DD"/>
    <w:rsid w:val="008525ED"/>
    <w:rsid w:val="00857771"/>
    <w:rsid w:val="008600F5"/>
    <w:rsid w:val="008761DA"/>
    <w:rsid w:val="00893556"/>
    <w:rsid w:val="008939BB"/>
    <w:rsid w:val="008D5B7E"/>
    <w:rsid w:val="009113DD"/>
    <w:rsid w:val="00912E45"/>
    <w:rsid w:val="00926D75"/>
    <w:rsid w:val="009350C1"/>
    <w:rsid w:val="00936A63"/>
    <w:rsid w:val="00937BF9"/>
    <w:rsid w:val="00962F41"/>
    <w:rsid w:val="0099192A"/>
    <w:rsid w:val="00994B21"/>
    <w:rsid w:val="00994F26"/>
    <w:rsid w:val="00994FC5"/>
    <w:rsid w:val="00997A7C"/>
    <w:rsid w:val="009A101F"/>
    <w:rsid w:val="009B21C0"/>
    <w:rsid w:val="009C4A4F"/>
    <w:rsid w:val="009D4935"/>
    <w:rsid w:val="009E3C98"/>
    <w:rsid w:val="009E6CBE"/>
    <w:rsid w:val="009F0DB3"/>
    <w:rsid w:val="00A14C09"/>
    <w:rsid w:val="00A174E4"/>
    <w:rsid w:val="00A27F31"/>
    <w:rsid w:val="00A35F16"/>
    <w:rsid w:val="00A40DE2"/>
    <w:rsid w:val="00A50F14"/>
    <w:rsid w:val="00A60B5E"/>
    <w:rsid w:val="00A74A35"/>
    <w:rsid w:val="00A83DED"/>
    <w:rsid w:val="00AB092E"/>
    <w:rsid w:val="00AB1BAB"/>
    <w:rsid w:val="00AB5254"/>
    <w:rsid w:val="00AC3384"/>
    <w:rsid w:val="00AC34D6"/>
    <w:rsid w:val="00B009EE"/>
    <w:rsid w:val="00B01457"/>
    <w:rsid w:val="00B05BA4"/>
    <w:rsid w:val="00B10385"/>
    <w:rsid w:val="00B118C3"/>
    <w:rsid w:val="00B241F1"/>
    <w:rsid w:val="00B37FA8"/>
    <w:rsid w:val="00B7403A"/>
    <w:rsid w:val="00B82609"/>
    <w:rsid w:val="00B95CB4"/>
    <w:rsid w:val="00BA7651"/>
    <w:rsid w:val="00BB0F9A"/>
    <w:rsid w:val="00BB7989"/>
    <w:rsid w:val="00BD1EF8"/>
    <w:rsid w:val="00BD698B"/>
    <w:rsid w:val="00BD69C3"/>
    <w:rsid w:val="00BE3CA5"/>
    <w:rsid w:val="00BF455E"/>
    <w:rsid w:val="00C04798"/>
    <w:rsid w:val="00C05294"/>
    <w:rsid w:val="00C12798"/>
    <w:rsid w:val="00C207ED"/>
    <w:rsid w:val="00C22FEB"/>
    <w:rsid w:val="00C31EFB"/>
    <w:rsid w:val="00C34257"/>
    <w:rsid w:val="00C45227"/>
    <w:rsid w:val="00C5706C"/>
    <w:rsid w:val="00C63F11"/>
    <w:rsid w:val="00C663E2"/>
    <w:rsid w:val="00C750D2"/>
    <w:rsid w:val="00C80388"/>
    <w:rsid w:val="00C80C61"/>
    <w:rsid w:val="00C82FA7"/>
    <w:rsid w:val="00CA4DA2"/>
    <w:rsid w:val="00CA6C93"/>
    <w:rsid w:val="00CC6CA3"/>
    <w:rsid w:val="00CC7609"/>
    <w:rsid w:val="00CD39EF"/>
    <w:rsid w:val="00CE18E6"/>
    <w:rsid w:val="00CE5781"/>
    <w:rsid w:val="00CF2527"/>
    <w:rsid w:val="00D05BDB"/>
    <w:rsid w:val="00D06CDF"/>
    <w:rsid w:val="00D31672"/>
    <w:rsid w:val="00D33DBE"/>
    <w:rsid w:val="00D44A7E"/>
    <w:rsid w:val="00D450AC"/>
    <w:rsid w:val="00D532CF"/>
    <w:rsid w:val="00D61C60"/>
    <w:rsid w:val="00D737E7"/>
    <w:rsid w:val="00D922B2"/>
    <w:rsid w:val="00D97C75"/>
    <w:rsid w:val="00DA5384"/>
    <w:rsid w:val="00DC0322"/>
    <w:rsid w:val="00DC0EA1"/>
    <w:rsid w:val="00DD38F8"/>
    <w:rsid w:val="00DD7395"/>
    <w:rsid w:val="00DE7F9D"/>
    <w:rsid w:val="00DF4F5D"/>
    <w:rsid w:val="00DF5BA7"/>
    <w:rsid w:val="00DF5EE3"/>
    <w:rsid w:val="00E04F50"/>
    <w:rsid w:val="00E128E7"/>
    <w:rsid w:val="00E20916"/>
    <w:rsid w:val="00E252E7"/>
    <w:rsid w:val="00E26598"/>
    <w:rsid w:val="00E27053"/>
    <w:rsid w:val="00E32776"/>
    <w:rsid w:val="00E33455"/>
    <w:rsid w:val="00E33919"/>
    <w:rsid w:val="00E3625A"/>
    <w:rsid w:val="00E372D1"/>
    <w:rsid w:val="00E5759D"/>
    <w:rsid w:val="00E63DC6"/>
    <w:rsid w:val="00E65A39"/>
    <w:rsid w:val="00E73FE9"/>
    <w:rsid w:val="00E75DE5"/>
    <w:rsid w:val="00E82F62"/>
    <w:rsid w:val="00E87CAE"/>
    <w:rsid w:val="00E96FAE"/>
    <w:rsid w:val="00EA156C"/>
    <w:rsid w:val="00EA7BFE"/>
    <w:rsid w:val="00EB0500"/>
    <w:rsid w:val="00EB7A13"/>
    <w:rsid w:val="00EC2E7E"/>
    <w:rsid w:val="00EC3A35"/>
    <w:rsid w:val="00EC66AB"/>
    <w:rsid w:val="00ED7405"/>
    <w:rsid w:val="00F03C1D"/>
    <w:rsid w:val="00F151C0"/>
    <w:rsid w:val="00F2676D"/>
    <w:rsid w:val="00F3746F"/>
    <w:rsid w:val="00F4430C"/>
    <w:rsid w:val="00F5711E"/>
    <w:rsid w:val="00F61A16"/>
    <w:rsid w:val="00F67024"/>
    <w:rsid w:val="00F80DB6"/>
    <w:rsid w:val="00F83704"/>
    <w:rsid w:val="00FA2EDB"/>
    <w:rsid w:val="00FA5AF9"/>
    <w:rsid w:val="00FB0269"/>
    <w:rsid w:val="00FB126D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b5b5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0C6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F52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525E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8525E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27053"/>
  </w:style>
  <w:style w:type="paragraph" w:styleId="Tekstdymka">
    <w:name w:val="Balloon Text"/>
    <w:basedOn w:val="Normalny"/>
    <w:semiHidden/>
    <w:rsid w:val="00A27F3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33233D"/>
    <w:pPr>
      <w:spacing w:after="210" w:line="210" w:lineRule="atLeast"/>
      <w:jc w:val="both"/>
    </w:pPr>
    <w:rPr>
      <w:sz w:val="17"/>
      <w:szCs w:val="17"/>
    </w:rPr>
  </w:style>
  <w:style w:type="table" w:styleId="Tabela-Siatka">
    <w:name w:val="Table Grid"/>
    <w:basedOn w:val="Standardowy"/>
    <w:rsid w:val="00525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912E45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6E13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6E13A3"/>
    <w:rPr>
      <w:i/>
      <w:iCs/>
      <w:color w:val="000000"/>
      <w:lang w:val="x-none" w:eastAsia="x-none"/>
    </w:rPr>
  </w:style>
  <w:style w:type="character" w:customStyle="1" w:styleId="CytatZnak">
    <w:name w:val="Cytat Znak"/>
    <w:basedOn w:val="Domylnaczcionkaakapitu"/>
    <w:link w:val="Cytat"/>
    <w:uiPriority w:val="29"/>
    <w:rsid w:val="006E13A3"/>
    <w:rPr>
      <w:i/>
      <w:iCs/>
      <w:color w:val="000000"/>
      <w:sz w:val="24"/>
      <w:szCs w:val="24"/>
      <w:lang w:val="x-none" w:eastAsia="x-none"/>
    </w:rPr>
  </w:style>
  <w:style w:type="character" w:styleId="Wyrnieniedelikatne">
    <w:name w:val="Subtle Emphasis"/>
    <w:uiPriority w:val="19"/>
    <w:qFormat/>
    <w:rsid w:val="006E13A3"/>
    <w:rPr>
      <w:i/>
      <w:iCs/>
      <w:color w:val="808080"/>
    </w:rPr>
  </w:style>
  <w:style w:type="character" w:customStyle="1" w:styleId="AkapitzlistZnak">
    <w:name w:val="Akapit z listą Znak"/>
    <w:link w:val="Akapitzlist"/>
    <w:uiPriority w:val="34"/>
    <w:rsid w:val="004A4BE0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9C4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C4A4F"/>
  </w:style>
  <w:style w:type="character" w:styleId="Odwoanieprzypisukocowego">
    <w:name w:val="endnote reference"/>
    <w:basedOn w:val="Domylnaczcionkaakapitu"/>
    <w:rsid w:val="009C4A4F"/>
    <w:rPr>
      <w:vertAlign w:val="superscript"/>
    </w:rPr>
  </w:style>
  <w:style w:type="paragraph" w:customStyle="1" w:styleId="imiinazwisko">
    <w:name w:val="imię i nazwisko"/>
    <w:basedOn w:val="Normalny"/>
    <w:next w:val="Normalny"/>
    <w:rsid w:val="00BE3CA5"/>
    <w:pPr>
      <w:spacing w:line="280" w:lineRule="exact"/>
      <w:jc w:val="right"/>
    </w:pPr>
    <w:rPr>
      <w:rFonts w:ascii="Arial" w:hAnsi="Arial"/>
      <w:b/>
      <w:sz w:val="20"/>
    </w:rPr>
  </w:style>
  <w:style w:type="paragraph" w:styleId="Tekstpodstawowywcity3">
    <w:name w:val="Body Text Indent 3"/>
    <w:basedOn w:val="Normalny"/>
    <w:link w:val="Tekstpodstawowywcity3Znak"/>
    <w:rsid w:val="00BE3CA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E3CA5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B050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4423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4238D"/>
    <w:rPr>
      <w:sz w:val="24"/>
      <w:szCs w:val="24"/>
    </w:rPr>
  </w:style>
  <w:style w:type="paragraph" w:customStyle="1" w:styleId="bcparagraph2bcparagraph16">
    <w:name w:val="_bc_paragraph_2 _bc_paragraph_16"/>
    <w:basedOn w:val="Normalny"/>
    <w:rsid w:val="0044238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E372D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73DB9"/>
    <w:rPr>
      <w:b/>
      <w:bCs/>
    </w:rPr>
  </w:style>
  <w:style w:type="paragraph" w:styleId="Bezodstpw">
    <w:name w:val="No Spacing"/>
    <w:basedOn w:val="Normalny"/>
    <w:uiPriority w:val="1"/>
    <w:qFormat/>
    <w:rsid w:val="00832AD3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683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8782">
                      <w:marLeft w:val="0"/>
                      <w:marRight w:val="4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D3D3"/>
                            <w:bottom w:val="none" w:sz="0" w:space="0" w:color="auto"/>
                            <w:right w:val="single" w:sz="6" w:space="0" w:color="D3D3D3"/>
                          </w:divBdr>
                          <w:divsChild>
                            <w:div w:id="15077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8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FBA75-0C28-4565-B6E9-CDA167197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4558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Warszawa</vt:lpstr>
    </vt:vector>
  </TitlesOfParts>
  <LinksUpToDate>false</LinksUpToDate>
  <CharactersWithSpaces>5307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2015-07-17T11:27:00Z</dcterms:created>
  <dcterms:modified xsi:type="dcterms:W3CDTF">2015-07-17T11:27:00Z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Variable">
    <vt:lpwstr>Warsaw 3432129.2</vt:lpwstr>
  </property>
</Properties>
</file>