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0D" w:rsidRPr="007A5225" w:rsidRDefault="00532959" w:rsidP="00893556">
      <w:pPr>
        <w:tabs>
          <w:tab w:val="right" w:pos="10206"/>
        </w:tabs>
        <w:spacing w:after="120"/>
        <w:ind w:left="567" w:right="56"/>
        <w:contextualSpacing/>
        <w:jc w:val="right"/>
        <w:rPr>
          <w:rFonts w:asciiTheme="minorHAnsi" w:hAnsiTheme="minorHAnsi" w:cs="Tahoma"/>
          <w:noProof/>
        </w:rPr>
      </w:pPr>
      <w:bookmarkStart w:id="0" w:name="_GoBack"/>
      <w:bookmarkEnd w:id="0"/>
      <w:r w:rsidRPr="007A5225">
        <w:rPr>
          <w:rFonts w:asciiTheme="minorHAnsi" w:hAnsiTheme="minorHAnsi" w:cs="Tahoma"/>
          <w:noProof/>
        </w:rPr>
        <w:t>Warszawa</w:t>
      </w:r>
      <w:r w:rsidR="00723D50" w:rsidRPr="007A5225">
        <w:rPr>
          <w:rFonts w:asciiTheme="minorHAnsi" w:hAnsiTheme="minorHAnsi" w:cs="Tahoma"/>
          <w:noProof/>
        </w:rPr>
        <w:t xml:space="preserve">, </w:t>
      </w:r>
      <w:r w:rsidR="001430DA" w:rsidRPr="007A5225">
        <w:rPr>
          <w:rFonts w:asciiTheme="minorHAnsi" w:hAnsiTheme="minorHAnsi" w:cs="Tahoma"/>
          <w:noProof/>
        </w:rPr>
        <w:t>1</w:t>
      </w:r>
      <w:r w:rsidR="007A5225" w:rsidRPr="007A5225">
        <w:rPr>
          <w:rFonts w:asciiTheme="minorHAnsi" w:hAnsiTheme="minorHAnsi" w:cs="Tahoma"/>
          <w:noProof/>
        </w:rPr>
        <w:t>6</w:t>
      </w:r>
      <w:r w:rsidR="007F1431" w:rsidRPr="007A5225">
        <w:rPr>
          <w:rFonts w:asciiTheme="minorHAnsi" w:hAnsiTheme="minorHAnsi" w:cs="Tahoma"/>
          <w:noProof/>
        </w:rPr>
        <w:t xml:space="preserve"> lipca</w:t>
      </w:r>
      <w:r w:rsidR="009A101F" w:rsidRPr="007A5225">
        <w:rPr>
          <w:rFonts w:asciiTheme="minorHAnsi" w:hAnsiTheme="minorHAnsi" w:cs="Tahoma"/>
          <w:noProof/>
        </w:rPr>
        <w:t xml:space="preserve"> </w:t>
      </w:r>
      <w:r w:rsidR="00723D50" w:rsidRPr="007A5225">
        <w:rPr>
          <w:rFonts w:asciiTheme="minorHAnsi" w:hAnsiTheme="minorHAnsi" w:cs="Tahoma"/>
          <w:noProof/>
        </w:rPr>
        <w:t>201</w:t>
      </w:r>
      <w:r w:rsidR="00BE3CA5" w:rsidRPr="007A5225">
        <w:rPr>
          <w:rFonts w:asciiTheme="minorHAnsi" w:hAnsiTheme="minorHAnsi" w:cs="Tahoma"/>
          <w:noProof/>
        </w:rPr>
        <w:t>5</w:t>
      </w:r>
      <w:r w:rsidR="0055384D" w:rsidRPr="007A5225">
        <w:rPr>
          <w:rFonts w:asciiTheme="minorHAnsi" w:hAnsiTheme="minorHAnsi" w:cs="Tahoma"/>
          <w:noProof/>
        </w:rPr>
        <w:t xml:space="preserve"> </w:t>
      </w:r>
      <w:r w:rsidR="00723D50" w:rsidRPr="007A5225">
        <w:rPr>
          <w:rFonts w:asciiTheme="minorHAnsi" w:hAnsiTheme="minorHAnsi" w:cs="Tahoma"/>
          <w:noProof/>
        </w:rPr>
        <w:t>r.</w:t>
      </w:r>
    </w:p>
    <w:p w:rsidR="00962F41" w:rsidRPr="001430DA" w:rsidRDefault="00962F41" w:rsidP="00893556">
      <w:pPr>
        <w:shd w:val="clear" w:color="auto" w:fill="FFFFFF" w:themeFill="background1"/>
        <w:spacing w:after="120"/>
        <w:contextualSpacing/>
        <w:jc w:val="right"/>
        <w:rPr>
          <w:rFonts w:asciiTheme="minorHAnsi" w:hAnsiTheme="minorHAnsi" w:cs="Tahoma"/>
          <w:noProof/>
        </w:rPr>
      </w:pPr>
      <w:r w:rsidRPr="007A5225">
        <w:rPr>
          <w:rFonts w:asciiTheme="minorHAnsi" w:hAnsiTheme="minorHAnsi" w:cs="Tahoma"/>
        </w:rPr>
        <w:t>KL/</w:t>
      </w:r>
      <w:r w:rsidR="007A5225" w:rsidRPr="007A5225">
        <w:rPr>
          <w:rFonts w:asciiTheme="minorHAnsi" w:hAnsiTheme="minorHAnsi" w:cs="Tahoma"/>
        </w:rPr>
        <w:t>388</w:t>
      </w:r>
      <w:r w:rsidRPr="007A5225">
        <w:rPr>
          <w:rFonts w:asciiTheme="minorHAnsi" w:hAnsiTheme="minorHAnsi" w:cs="Tahoma"/>
        </w:rPr>
        <w:t>/DK/2015</w:t>
      </w:r>
    </w:p>
    <w:p w:rsidR="00CC6CA3" w:rsidRPr="001430DA" w:rsidRDefault="00CC6CA3" w:rsidP="00A174E4">
      <w:pPr>
        <w:spacing w:after="120"/>
        <w:ind w:left="709"/>
        <w:contextualSpacing/>
        <w:rPr>
          <w:rFonts w:asciiTheme="minorHAnsi" w:hAnsiTheme="minorHAnsi"/>
          <w:b/>
        </w:rPr>
      </w:pPr>
    </w:p>
    <w:p w:rsidR="00DF4F5D" w:rsidRDefault="00DF4F5D" w:rsidP="00A174E4">
      <w:pPr>
        <w:spacing w:after="120"/>
        <w:ind w:left="709"/>
        <w:contextualSpacing/>
        <w:rPr>
          <w:rFonts w:asciiTheme="minorHAnsi" w:hAnsiTheme="minorHAnsi"/>
          <w:b/>
        </w:rPr>
      </w:pPr>
    </w:p>
    <w:p w:rsidR="007A5225" w:rsidRDefault="007A5225" w:rsidP="00A174E4">
      <w:pPr>
        <w:spacing w:after="120"/>
        <w:ind w:left="709"/>
        <w:contextualSpacing/>
        <w:rPr>
          <w:rFonts w:asciiTheme="minorHAnsi" w:hAnsiTheme="minorHAnsi"/>
          <w:b/>
        </w:rPr>
      </w:pPr>
    </w:p>
    <w:p w:rsidR="00DC0EA1" w:rsidRPr="001430DA" w:rsidRDefault="00DC0EA1" w:rsidP="00A174E4">
      <w:pPr>
        <w:spacing w:after="120"/>
        <w:ind w:left="709"/>
        <w:contextualSpacing/>
        <w:rPr>
          <w:rFonts w:asciiTheme="minorHAnsi" w:hAnsiTheme="minorHAnsi"/>
          <w:b/>
        </w:rPr>
      </w:pPr>
    </w:p>
    <w:p w:rsidR="007A5225" w:rsidRDefault="007A5225" w:rsidP="00611901">
      <w:pPr>
        <w:tabs>
          <w:tab w:val="center" w:pos="4677"/>
        </w:tabs>
        <w:ind w:left="709"/>
        <w:contextualSpacing/>
        <w:jc w:val="both"/>
        <w:rPr>
          <w:rFonts w:asciiTheme="minorHAnsi" w:hAnsiTheme="minorHAnsi" w:cstheme="minorHAnsi"/>
          <w:b/>
        </w:rPr>
      </w:pPr>
    </w:p>
    <w:p w:rsidR="00151510" w:rsidRPr="007F1431" w:rsidRDefault="00A174E4" w:rsidP="00611901">
      <w:pPr>
        <w:tabs>
          <w:tab w:val="center" w:pos="4677"/>
        </w:tabs>
        <w:ind w:left="709"/>
        <w:contextualSpacing/>
        <w:jc w:val="both"/>
        <w:rPr>
          <w:rFonts w:asciiTheme="minorHAnsi" w:hAnsiTheme="minorHAnsi" w:cstheme="minorHAnsi"/>
          <w:b/>
        </w:rPr>
      </w:pPr>
      <w:r w:rsidRPr="007F1431">
        <w:rPr>
          <w:rFonts w:asciiTheme="minorHAnsi" w:hAnsiTheme="minorHAnsi" w:cstheme="minorHAnsi"/>
          <w:b/>
        </w:rPr>
        <w:t>Pan</w:t>
      </w:r>
      <w:r w:rsidR="007A5225">
        <w:rPr>
          <w:rFonts w:asciiTheme="minorHAnsi" w:hAnsiTheme="minorHAnsi" w:cstheme="minorHAnsi"/>
          <w:b/>
        </w:rPr>
        <w:t>i Ewa KOPACZ</w:t>
      </w:r>
    </w:p>
    <w:p w:rsidR="007F1431" w:rsidRDefault="007A5225" w:rsidP="00611901">
      <w:pPr>
        <w:tabs>
          <w:tab w:val="center" w:pos="4677"/>
        </w:tabs>
        <w:ind w:left="709"/>
        <w:contextualSpacing/>
        <w:rPr>
          <w:rStyle w:val="Pogrubienie"/>
          <w:rFonts w:asciiTheme="minorHAnsi" w:eastAsia="Calibri" w:hAnsiTheme="minorHAnsi"/>
          <w:color w:val="555555"/>
        </w:rPr>
      </w:pPr>
      <w:r>
        <w:rPr>
          <w:rStyle w:val="Pogrubienie"/>
          <w:rFonts w:asciiTheme="minorHAnsi" w:eastAsia="Calibri" w:hAnsiTheme="minorHAnsi"/>
          <w:color w:val="555555"/>
        </w:rPr>
        <w:t>Premier RP</w:t>
      </w:r>
    </w:p>
    <w:p w:rsidR="00A174E4" w:rsidRPr="007F1431" w:rsidRDefault="00A174E4" w:rsidP="00A174E4">
      <w:pPr>
        <w:tabs>
          <w:tab w:val="center" w:pos="4677"/>
        </w:tabs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E5333" w:rsidRPr="001430DA" w:rsidRDefault="006E5333" w:rsidP="006E5333">
      <w:pPr>
        <w:tabs>
          <w:tab w:val="center" w:pos="4677"/>
        </w:tabs>
        <w:spacing w:after="120"/>
        <w:ind w:left="708"/>
        <w:jc w:val="both"/>
        <w:rPr>
          <w:rFonts w:asciiTheme="minorHAnsi" w:hAnsiTheme="minorHAnsi" w:cstheme="minorHAnsi"/>
        </w:rPr>
      </w:pPr>
      <w:r w:rsidRPr="001430DA">
        <w:rPr>
          <w:rFonts w:asciiTheme="minorHAnsi" w:hAnsiTheme="minorHAnsi" w:cstheme="minorHAnsi"/>
        </w:rPr>
        <w:t>Szanown</w:t>
      </w:r>
      <w:r w:rsidR="007A5225">
        <w:rPr>
          <w:rFonts w:asciiTheme="minorHAnsi" w:hAnsiTheme="minorHAnsi" w:cstheme="minorHAnsi"/>
        </w:rPr>
        <w:t xml:space="preserve">a Pani Premier, </w:t>
      </w:r>
      <w:r w:rsidR="007F1431">
        <w:rPr>
          <w:rFonts w:asciiTheme="minorHAnsi" w:hAnsiTheme="minorHAnsi" w:cstheme="minorHAnsi"/>
        </w:rPr>
        <w:t xml:space="preserve"> </w:t>
      </w:r>
      <w:r w:rsidRPr="001430DA">
        <w:rPr>
          <w:rFonts w:asciiTheme="minorHAnsi" w:hAnsiTheme="minorHAnsi" w:cstheme="minorHAnsi"/>
        </w:rPr>
        <w:t xml:space="preserve"> </w:t>
      </w:r>
    </w:p>
    <w:p w:rsidR="00611901" w:rsidRDefault="00611901" w:rsidP="00611901">
      <w:pPr>
        <w:tabs>
          <w:tab w:val="left" w:pos="0"/>
        </w:tabs>
        <w:spacing w:after="120" w:line="288" w:lineRule="auto"/>
        <w:ind w:left="709"/>
        <w:jc w:val="both"/>
        <w:rPr>
          <w:rFonts w:asciiTheme="minorHAnsi" w:hAnsiTheme="minorHAnsi" w:cstheme="minorHAnsi"/>
        </w:rPr>
      </w:pPr>
    </w:p>
    <w:p w:rsidR="007A5225" w:rsidRDefault="007A5225" w:rsidP="00611901">
      <w:pPr>
        <w:tabs>
          <w:tab w:val="left" w:pos="0"/>
        </w:tabs>
        <w:spacing w:after="120" w:line="288" w:lineRule="auto"/>
        <w:ind w:left="709"/>
        <w:jc w:val="both"/>
        <w:rPr>
          <w:rFonts w:asciiTheme="minorHAnsi" w:hAnsiTheme="minorHAnsi" w:cstheme="minorHAnsi"/>
        </w:rPr>
      </w:pP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Rada OZE przy Konfederacji Lewiatan jest zaniepokojona brakiem reakcji Ministra Gospodarki i  Rządu RP na pogłębiający się kryzys na rynku świadectw pochodzenia energii odnawialnej. Narastająca nadwyżka praw majątkowych energii odnawialnej, wynosząca już ok. 15 TWh, a więc prawie równa rocznemu popytowi określonemu w ustawie OZE, doprowadziła do drastycznego spadku cen praw majątkowych, co może oznaczać, że za kilka miesięcy będą one całkowicie bezwartościowe. Ceny świadectw na sesjach w lipcu 2015 r. spadły poniżej 100 zł/MWh co, przy niskich cenach energii „czarnej”, dla większości producentów oznacza zejście poniżej progu rentowności. W ślad za szybką deprecjacją wartości świadectw w obrocie sesyjnym podążają ceny w kontraktach dwustronnych, czyli w transakcjach pozasesyjnych.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Wielu inwestorom, szczególnie w farmy wiatrowe i biogazownie grozi utrata możliwości spłaty kredytów, a rynek producentów i dostawców biomasy praktycznie zanika, ponieważ wykorzystanie energetyczne biomasy stało się nieopłacalne. Na ryzyko poniesienia znacznych strat, a w konsekwencji konieczność zamykania instalacji wytwórczych (biomasa, biogaz) lub ich odsprzedaż (wiatr), narażeni są </w:t>
      </w:r>
      <w:r w:rsidRPr="007A5225">
        <w:rPr>
          <w:rFonts w:asciiTheme="minorHAnsi" w:hAnsiTheme="minorHAnsi"/>
          <w:sz w:val="22"/>
          <w:szCs w:val="22"/>
        </w:rPr>
        <w:lastRenderedPageBreak/>
        <w:t>szczególnie wytwórcy mali i niezależni, tj. niezintegrowani pionowo. Pomijanie tego problemu przez przedstawicieli rządu wskazuje na niezrozumienie jego istoty i długofalowych konsekwencji dla gospodarki. Należy podkreślić, że wśród przyczyn kryzysu są między innymi wadliwe, nieskorygowane w porę regulacje:</w:t>
      </w:r>
    </w:p>
    <w:p w:rsidR="007A5225" w:rsidRPr="007A5225" w:rsidRDefault="007A5225" w:rsidP="00DC0EA1">
      <w:pPr>
        <w:pStyle w:val="Akapitzlist"/>
        <w:numPr>
          <w:ilvl w:val="0"/>
          <w:numId w:val="30"/>
        </w:numPr>
        <w:spacing w:after="120" w:line="288" w:lineRule="auto"/>
        <w:ind w:left="1417" w:hanging="425"/>
        <w:jc w:val="both"/>
        <w:rPr>
          <w:rFonts w:asciiTheme="minorHAnsi" w:hAnsiTheme="minorHAnsi"/>
        </w:rPr>
      </w:pPr>
      <w:r w:rsidRPr="007A5225">
        <w:rPr>
          <w:rFonts w:asciiTheme="minorHAnsi" w:hAnsiTheme="minorHAnsi"/>
        </w:rPr>
        <w:t xml:space="preserve">otwarty i neutralny technologicznie charakter systemu wsparcia, który przyczynił się do zbyt szybkiego rozwoju niektórych technologii odnawialnych; </w:t>
      </w:r>
    </w:p>
    <w:p w:rsidR="007A5225" w:rsidRPr="007A5225" w:rsidRDefault="007A5225" w:rsidP="00DC0EA1">
      <w:pPr>
        <w:pStyle w:val="Akapitzlist"/>
        <w:numPr>
          <w:ilvl w:val="0"/>
          <w:numId w:val="30"/>
        </w:numPr>
        <w:spacing w:after="120" w:line="288" w:lineRule="auto"/>
        <w:ind w:left="1417" w:hanging="425"/>
        <w:jc w:val="both"/>
        <w:rPr>
          <w:rFonts w:asciiTheme="minorHAnsi" w:hAnsiTheme="minorHAnsi"/>
        </w:rPr>
      </w:pPr>
      <w:r w:rsidRPr="007A5225">
        <w:rPr>
          <w:rFonts w:asciiTheme="minorHAnsi" w:hAnsiTheme="minorHAnsi"/>
        </w:rPr>
        <w:t>brak ceny minimalnej świadectw pochodzenia;</w:t>
      </w:r>
    </w:p>
    <w:p w:rsidR="007A5225" w:rsidRPr="007A5225" w:rsidRDefault="007A5225" w:rsidP="00DC0EA1">
      <w:pPr>
        <w:pStyle w:val="Akapitzlist"/>
        <w:numPr>
          <w:ilvl w:val="0"/>
          <w:numId w:val="30"/>
        </w:numPr>
        <w:spacing w:after="120" w:line="288" w:lineRule="auto"/>
        <w:ind w:left="1417" w:hanging="425"/>
        <w:jc w:val="both"/>
        <w:rPr>
          <w:rFonts w:asciiTheme="minorHAnsi" w:hAnsiTheme="minorHAnsi"/>
        </w:rPr>
      </w:pPr>
      <w:r w:rsidRPr="007A5225">
        <w:rPr>
          <w:rFonts w:asciiTheme="minorHAnsi" w:hAnsiTheme="minorHAnsi"/>
        </w:rPr>
        <w:t>możliwość rozliczania obowiązku poprzez wniesienie opłaty zastępczej, mimo nadprodukcji energii odnawialnej;</w:t>
      </w:r>
    </w:p>
    <w:p w:rsidR="007A5225" w:rsidRPr="007A5225" w:rsidRDefault="007A5225" w:rsidP="00DC0EA1">
      <w:pPr>
        <w:pStyle w:val="Akapitzlist"/>
        <w:numPr>
          <w:ilvl w:val="0"/>
          <w:numId w:val="30"/>
        </w:numPr>
        <w:spacing w:after="120" w:line="288" w:lineRule="auto"/>
        <w:ind w:left="1417" w:hanging="425"/>
        <w:jc w:val="both"/>
        <w:rPr>
          <w:rFonts w:asciiTheme="minorHAnsi" w:hAnsiTheme="minorHAnsi"/>
        </w:rPr>
      </w:pPr>
      <w:r w:rsidRPr="007A5225">
        <w:rPr>
          <w:rFonts w:asciiTheme="minorHAnsi" w:hAnsiTheme="minorHAnsi"/>
        </w:rPr>
        <w:t>nieprecyzyjne przepisy dotyczące dokumentowania pochodzenia biomasy leśnej, które przyczyniły się do powstania wielomiesięcznych opóźnień w wydawaniu przez Urząd Regulacji Energetyki świadectw pochodzenia energii wyprodukowanej z biomasy;</w:t>
      </w:r>
    </w:p>
    <w:p w:rsidR="007A5225" w:rsidRPr="007A5225" w:rsidRDefault="007A5225" w:rsidP="00DC0EA1">
      <w:pPr>
        <w:pStyle w:val="Akapitzlist"/>
        <w:numPr>
          <w:ilvl w:val="0"/>
          <w:numId w:val="30"/>
        </w:numPr>
        <w:spacing w:after="120" w:line="288" w:lineRule="auto"/>
        <w:ind w:left="1417" w:hanging="425"/>
        <w:jc w:val="both"/>
        <w:rPr>
          <w:rFonts w:asciiTheme="minorHAnsi" w:hAnsiTheme="minorHAnsi"/>
        </w:rPr>
      </w:pPr>
      <w:r w:rsidRPr="007A5225">
        <w:rPr>
          <w:rFonts w:asciiTheme="minorHAnsi" w:hAnsiTheme="minorHAnsi"/>
        </w:rPr>
        <w:t xml:space="preserve">brak transparentnej, bieżącej informacji rynkowej o ilości wyprodukowanej energii odnawialnej w danym roku i rozpatrywanych wnioskach o wydanie świadectw pochodzenia.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Biorąc pod uwagę, że rozwój OZE uzależniony był od istnienia systemu wsparcia, w tym poziomu popytu regulowanego w rozporządzeniu Ministra Gospodarki, nie można w tym przypadku mówić o „zadziałaniu mechanizmów rynkowych”. Bez wdrożenia obowiązku zakupu energii z OZE i wdrożenia zachęt finansowych, przedsiębiorcy nie zrealizowaliby żadnej inwestycji w OZE na warunkach czysto rynkowych. Stąd, uzasadniona jest interwencja rządu, a przynajmniej podjęcie poważnej dyskusji nad możliwymi sposobami rozwiązania problemu.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Zmiany w systemie świadectw pochodzenia, które wchodzą w życie od 1 stycznia 2016 r. nie wystarczą, wbrew opinii Ministerstwa Gospodarki, do zlikwidowania istniejącej nadwyżki świadectw pochodzenia. Podstawowym dostawcą nowych świadectw pochodzenia w 2016 r. będą farmy wiatrowe, których roczna produkcja wyniesie prawie 10 TWh. Nawet jeżeli całe współspalanie zostałoby wstrzymane, </w:t>
      </w:r>
      <w:r w:rsidRPr="007A5225">
        <w:rPr>
          <w:rFonts w:asciiTheme="minorHAnsi" w:hAnsiTheme="minorHAnsi"/>
          <w:sz w:val="22"/>
          <w:szCs w:val="22"/>
        </w:rPr>
        <w:lastRenderedPageBreak/>
        <w:t xml:space="preserve">łącznie z tzw. dedykowanym, to nadwyżka świadectw na koniec 2016 r. nadal będzie wynosić ok. 12 TWh.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Wcześniej jednak, zapaść cenowa świadectw pochodzenia spowoduje wyłączanie również bloków opalanych w 100% biomasą (tzw. Zielonych Bloków), które zostały wybudowane nakładem ponad 3 miliardów złotych. Wymuszone wyłączenie tych jednostek lub ich przebudowa na węgiel, w świetle przyjętego przez Polskę zobowiązania do redukcji emisji CO2 o 40% do 2030 r. oraz prac nad światowym porozumieniem klimatycznym, byłoby wizerunkową porażką Polski.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Dlatego też, kluczowym dla dalszego funkcjonowania wytwórców energii odnawialnej będzie określenie przez Ministra Gospodarki poziomu obowiązkowego udziału energii odnawialnej w sprzedaży do odbiorców końcowych w latach 2017-2020, na możliwie wysokim poziomie, ok. 19-20%, przynajmniej w pierwszych dwóch latach tego okresu. Rada OZE przy Konfederacji Lewiatan, zaproponowała zmianę legislacyjna w art. 60 ustawy o OZE, która pozwoliłaby na kontrolowaną redukcję nadwyżki i powolny powrót cen praw majątkowych do poziomu zapewniającego rentowność instalacji OZE. Zmiana ta polega w praktyce na utrzymaniu obowiązkowego udziału w wysokości 20% w do czasu powrotu cen świadectw do poziomu ok. 60% opłaty zastępczej. Inne możliwe rozwiązanie to znaczne przyspieszenie przechodzenia istniejących instalacji do systemu aukcyjnego, tak aby proces ten objął co najmniej 2 TWh produkowanej energii odnawialnej rocznie. </w:t>
      </w:r>
    </w:p>
    <w:p w:rsidR="007A5225" w:rsidRPr="007A5225" w:rsidRDefault="007A5225" w:rsidP="00DC0EA1">
      <w:pPr>
        <w:spacing w:after="120" w:line="288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7A5225">
        <w:rPr>
          <w:rFonts w:asciiTheme="minorHAnsi" w:hAnsiTheme="minorHAnsi"/>
          <w:sz w:val="22"/>
          <w:szCs w:val="22"/>
        </w:rPr>
        <w:t xml:space="preserve">W związku z powyższym, apelujemy do Ministra Gospodarki o niezwłoczne potwierdzenie intencji doprowadzenia do równowagi popytu i podaży świadectw pochodzenia w okresie do 2020 r. i podjęcie działań legislacyjnych dla wprowadzenia postulowanej zmiany w ustawie OZE. Taki sygnał zapobiegłby dalszej panicznej wyprzedaży świadectw pochodzenia i przyczyniłby się do stabilizacji rynku producentów energii z OZE. Byłby też istotnym argumentem przemawiającym za równoprawnym traktowaniem podmiotów krajowych i zagranicznych na rynku energii elektrycznej i odnawialnych źródeł energii. </w:t>
      </w:r>
    </w:p>
    <w:p w:rsidR="007A5225" w:rsidRDefault="007A5225" w:rsidP="00DC0EA1">
      <w:pPr>
        <w:tabs>
          <w:tab w:val="center" w:pos="4677"/>
        </w:tabs>
        <w:spacing w:after="120" w:line="288" w:lineRule="auto"/>
        <w:ind w:left="708"/>
        <w:jc w:val="both"/>
        <w:rPr>
          <w:rFonts w:asciiTheme="minorHAnsi" w:hAnsiTheme="minorHAnsi" w:cstheme="minorHAnsi"/>
        </w:rPr>
      </w:pPr>
    </w:p>
    <w:p w:rsidR="007A5225" w:rsidRDefault="007A5225" w:rsidP="00DC0EA1">
      <w:pPr>
        <w:tabs>
          <w:tab w:val="center" w:pos="4677"/>
        </w:tabs>
        <w:spacing w:after="120" w:line="288" w:lineRule="auto"/>
        <w:ind w:left="708"/>
        <w:jc w:val="both"/>
        <w:rPr>
          <w:rFonts w:asciiTheme="minorHAnsi" w:hAnsiTheme="minorHAnsi" w:cstheme="minorHAnsi"/>
        </w:rPr>
      </w:pPr>
    </w:p>
    <w:p w:rsidR="007A5225" w:rsidRDefault="007A5225" w:rsidP="00DC0EA1">
      <w:pPr>
        <w:tabs>
          <w:tab w:val="center" w:pos="4677"/>
        </w:tabs>
        <w:spacing w:after="120" w:line="288" w:lineRule="auto"/>
        <w:ind w:left="708"/>
        <w:jc w:val="both"/>
        <w:rPr>
          <w:rFonts w:asciiTheme="minorHAnsi" w:hAnsiTheme="minorHAnsi" w:cstheme="minorHAnsi"/>
        </w:rPr>
      </w:pPr>
    </w:p>
    <w:p w:rsidR="00A174E4" w:rsidRPr="007A5225" w:rsidRDefault="00A174E4" w:rsidP="00DC0EA1">
      <w:pPr>
        <w:tabs>
          <w:tab w:val="center" w:pos="4677"/>
        </w:tabs>
        <w:spacing w:after="120" w:line="288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225">
        <w:rPr>
          <w:rFonts w:asciiTheme="minorHAnsi" w:hAnsiTheme="minorHAnsi" w:cstheme="minorHAnsi"/>
          <w:sz w:val="22"/>
          <w:szCs w:val="22"/>
          <w:highlight w:val="yellow"/>
        </w:rPr>
        <w:t>Z wyrazami szacunku,</w:t>
      </w:r>
    </w:p>
    <w:p w:rsidR="00DF4F5D" w:rsidRPr="001430DA" w:rsidRDefault="00DF4F5D" w:rsidP="00DC0EA1">
      <w:pPr>
        <w:spacing w:after="120" w:line="288" w:lineRule="auto"/>
        <w:ind w:left="1417"/>
        <w:contextualSpacing/>
        <w:rPr>
          <w:rFonts w:asciiTheme="minorHAnsi" w:hAnsiTheme="minorHAnsi"/>
          <w:b/>
        </w:rPr>
      </w:pPr>
    </w:p>
    <w:p w:rsidR="00A83DED" w:rsidRPr="001430DA" w:rsidRDefault="003C3F08" w:rsidP="00DC0EA1">
      <w:pPr>
        <w:spacing w:line="288" w:lineRule="auto"/>
        <w:ind w:left="709"/>
        <w:contextualSpacing/>
        <w:jc w:val="both"/>
        <w:rPr>
          <w:rFonts w:asciiTheme="minorHAnsi" w:hAnsiTheme="minorHAnsi"/>
          <w:b/>
        </w:rPr>
      </w:pPr>
      <w:r w:rsidRPr="001430DA">
        <w:rPr>
          <w:rFonts w:asciiTheme="minorHAnsi" w:hAnsiTheme="minorHAnsi"/>
          <w:b/>
        </w:rPr>
        <w:t>Henryka Bochniarz</w:t>
      </w:r>
    </w:p>
    <w:p w:rsidR="00A174E4" w:rsidRPr="001430DA" w:rsidRDefault="003C3F08" w:rsidP="00DC0EA1">
      <w:pPr>
        <w:spacing w:line="288" w:lineRule="auto"/>
        <w:ind w:left="709"/>
        <w:contextualSpacing/>
        <w:jc w:val="both"/>
        <w:rPr>
          <w:rFonts w:asciiTheme="minorHAnsi" w:hAnsiTheme="minorHAnsi"/>
          <w:b/>
        </w:rPr>
      </w:pPr>
      <w:r w:rsidRPr="001430DA">
        <w:rPr>
          <w:rFonts w:asciiTheme="minorHAnsi" w:hAnsiTheme="minorHAnsi"/>
          <w:b/>
        </w:rPr>
        <w:t xml:space="preserve">Prezydent </w:t>
      </w:r>
    </w:p>
    <w:p w:rsidR="000820E9" w:rsidRPr="001430DA" w:rsidRDefault="00A83DED" w:rsidP="00DC0EA1">
      <w:pPr>
        <w:spacing w:line="288" w:lineRule="auto"/>
        <w:ind w:left="709"/>
        <w:contextualSpacing/>
        <w:jc w:val="both"/>
        <w:rPr>
          <w:rFonts w:asciiTheme="minorHAnsi" w:hAnsiTheme="minorHAnsi"/>
          <w:b/>
        </w:rPr>
      </w:pPr>
      <w:r w:rsidRPr="001430DA">
        <w:rPr>
          <w:rFonts w:asciiTheme="minorHAnsi" w:hAnsiTheme="minorHAnsi"/>
          <w:b/>
        </w:rPr>
        <w:t>Konfederacji Lewiatan</w:t>
      </w:r>
    </w:p>
    <w:p w:rsidR="00FA2EDB" w:rsidRPr="001430DA" w:rsidRDefault="00FA2EDB" w:rsidP="00DC0EA1">
      <w:pPr>
        <w:spacing w:after="120" w:line="288" w:lineRule="auto"/>
        <w:ind w:left="709"/>
        <w:contextualSpacing/>
        <w:jc w:val="both"/>
        <w:rPr>
          <w:rFonts w:asciiTheme="minorHAnsi" w:hAnsiTheme="minorHAnsi"/>
          <w:b/>
        </w:rPr>
      </w:pPr>
    </w:p>
    <w:p w:rsidR="00C750D2" w:rsidRDefault="00C750D2" w:rsidP="00C750D2">
      <w:pPr>
        <w:ind w:left="2124" w:hanging="1416"/>
        <w:rPr>
          <w:rFonts w:asciiTheme="minorHAnsi" w:hAnsiTheme="minorHAnsi"/>
          <w:b/>
        </w:rPr>
      </w:pPr>
    </w:p>
    <w:sectPr w:rsidR="00C750D2" w:rsidSect="009D4935">
      <w:headerReference w:type="default" r:id="rId8"/>
      <w:footerReference w:type="default" r:id="rId9"/>
      <w:pgSz w:w="11906" w:h="16838" w:code="9"/>
      <w:pgMar w:top="851" w:right="991" w:bottom="2269" w:left="1134" w:header="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A7" w:rsidRDefault="00C82FA7">
      <w:r>
        <w:separator/>
      </w:r>
    </w:p>
  </w:endnote>
  <w:endnote w:type="continuationSeparator" w:id="0">
    <w:p w:rsidR="00C82FA7" w:rsidRDefault="00C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45" w:rsidRDefault="006255E5" w:rsidP="00912E45">
    <w:pPr>
      <w:pStyle w:val="Stopka"/>
      <w:jc w:val="right"/>
      <w:rPr>
        <w:rFonts w:asciiTheme="minorHAnsi" w:hAnsiTheme="minorHAnsi"/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629D9AF8" wp14:editId="534F109B">
          <wp:extent cx="1164590" cy="201295"/>
          <wp:effectExtent l="0" t="0" r="0" b="8255"/>
          <wp:docPr id="14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1B3CF575" wp14:editId="0CA1599B">
          <wp:extent cx="5912026" cy="814387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A7" w:rsidRDefault="00C82FA7">
      <w:r>
        <w:separator/>
      </w:r>
    </w:p>
  </w:footnote>
  <w:footnote w:type="continuationSeparator" w:id="0">
    <w:p w:rsidR="00C82FA7" w:rsidRDefault="00C8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9A" w:rsidRDefault="008D5B7E" w:rsidP="008D5B7E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>
      <w:t xml:space="preserve">                                                                                                                                            </w:t>
    </w:r>
  </w:p>
  <w:p w:rsidR="008D5B7E" w:rsidRDefault="008D5B7E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:rsidR="00635012" w:rsidRDefault="00635012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tbl>
    <w:tblPr>
      <w:tblStyle w:val="Tabela-Siatka"/>
      <w:tblW w:w="9639" w:type="dxa"/>
      <w:tblInd w:w="426" w:type="dxa"/>
      <w:tblBorders>
        <w:top w:val="none" w:sz="0" w:space="0" w:color="auto"/>
        <w:left w:val="none" w:sz="0" w:space="0" w:color="auto"/>
        <w:bottom w:val="single" w:sz="8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8"/>
      <w:gridCol w:w="6021"/>
    </w:tblGrid>
    <w:tr w:rsidR="008D5B7E" w:rsidTr="00010EFB">
      <w:tc>
        <w:tcPr>
          <w:tcW w:w="3618" w:type="dxa"/>
          <w:tcBorders>
            <w:bottom w:val="nil"/>
          </w:tcBorders>
        </w:tcPr>
        <w:p w:rsidR="008D5B7E" w:rsidRDefault="00EC66AB" w:rsidP="00711C38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</w:pPr>
          <w:r w:rsidRPr="00DE7F9D">
            <w:rPr>
              <w:noProof/>
            </w:rPr>
            <w:drawing>
              <wp:inline distT="0" distB="0" distL="0" distR="0" wp14:anchorId="292D285B" wp14:editId="4471F3AA">
                <wp:extent cx="713105" cy="932815"/>
                <wp:effectExtent l="0" t="0" r="0" b="635"/>
                <wp:docPr id="13" name="Obraz 13" descr="Papier_Lewiatan_10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2" descr="Papier_Lewiatan_10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tcBorders>
            <w:bottom w:val="nil"/>
          </w:tcBorders>
        </w:tcPr>
        <w:p w:rsidR="008D5B7E" w:rsidRDefault="008D5B7E" w:rsidP="008D5B7E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</w:tbl>
  <w:p w:rsidR="00711C38" w:rsidRPr="00C80C61" w:rsidRDefault="00711C38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1EC"/>
    <w:multiLevelType w:val="hybridMultilevel"/>
    <w:tmpl w:val="434E68AE"/>
    <w:lvl w:ilvl="0" w:tplc="726C17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451DF"/>
    <w:multiLevelType w:val="hybridMultilevel"/>
    <w:tmpl w:val="C5F013C0"/>
    <w:lvl w:ilvl="0" w:tplc="A9F0E67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80C"/>
    <w:multiLevelType w:val="hybridMultilevel"/>
    <w:tmpl w:val="D9F8931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750812"/>
    <w:multiLevelType w:val="hybridMultilevel"/>
    <w:tmpl w:val="8E1C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B7D"/>
    <w:multiLevelType w:val="hybridMultilevel"/>
    <w:tmpl w:val="634E1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1DA"/>
    <w:multiLevelType w:val="hybridMultilevel"/>
    <w:tmpl w:val="45B6A5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CD6A45"/>
    <w:multiLevelType w:val="hybridMultilevel"/>
    <w:tmpl w:val="C1C42654"/>
    <w:lvl w:ilvl="0" w:tplc="CF3E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7AAF"/>
    <w:multiLevelType w:val="hybridMultilevel"/>
    <w:tmpl w:val="299A4A3C"/>
    <w:lvl w:ilvl="0" w:tplc="35100E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E4CF2"/>
    <w:multiLevelType w:val="hybridMultilevel"/>
    <w:tmpl w:val="731463F8"/>
    <w:lvl w:ilvl="0" w:tplc="0F70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3FB"/>
    <w:multiLevelType w:val="hybridMultilevel"/>
    <w:tmpl w:val="04881F9C"/>
    <w:lvl w:ilvl="0" w:tplc="B25E5CD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4112"/>
    <w:multiLevelType w:val="hybridMultilevel"/>
    <w:tmpl w:val="41B4EC5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405666E"/>
    <w:multiLevelType w:val="hybridMultilevel"/>
    <w:tmpl w:val="A6F0DB5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364952E0"/>
    <w:multiLevelType w:val="hybridMultilevel"/>
    <w:tmpl w:val="0D3C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4F7F"/>
    <w:multiLevelType w:val="hybridMultilevel"/>
    <w:tmpl w:val="18F26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80CD2"/>
    <w:multiLevelType w:val="hybridMultilevel"/>
    <w:tmpl w:val="30F0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902AE"/>
    <w:multiLevelType w:val="hybridMultilevel"/>
    <w:tmpl w:val="CDA0255E"/>
    <w:lvl w:ilvl="0" w:tplc="BC102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4A0BF2"/>
    <w:multiLevelType w:val="hybridMultilevel"/>
    <w:tmpl w:val="A3BCE4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676B"/>
    <w:multiLevelType w:val="hybridMultilevel"/>
    <w:tmpl w:val="83BAF0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5C1897"/>
    <w:multiLevelType w:val="hybridMultilevel"/>
    <w:tmpl w:val="3C6412F0"/>
    <w:lvl w:ilvl="0" w:tplc="DC80CD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80EB9"/>
    <w:multiLevelType w:val="hybridMultilevel"/>
    <w:tmpl w:val="328A3F70"/>
    <w:lvl w:ilvl="0" w:tplc="A578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801"/>
    <w:multiLevelType w:val="hybridMultilevel"/>
    <w:tmpl w:val="9892B9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D1810"/>
    <w:multiLevelType w:val="hybridMultilevel"/>
    <w:tmpl w:val="C1C42654"/>
    <w:lvl w:ilvl="0" w:tplc="CF3E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1C10"/>
    <w:multiLevelType w:val="hybridMultilevel"/>
    <w:tmpl w:val="C074CFE4"/>
    <w:lvl w:ilvl="0" w:tplc="BE52CB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6258D"/>
    <w:multiLevelType w:val="hybridMultilevel"/>
    <w:tmpl w:val="B380C0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7626E5A"/>
    <w:multiLevelType w:val="hybridMultilevel"/>
    <w:tmpl w:val="77C094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E3FBF"/>
    <w:multiLevelType w:val="hybridMultilevel"/>
    <w:tmpl w:val="9B38200A"/>
    <w:lvl w:ilvl="0" w:tplc="18B67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ani" w:hAnsi="Vani" w:hint="default"/>
      </w:rPr>
    </w:lvl>
    <w:lvl w:ilvl="1" w:tplc="72F6B8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61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1D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05A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222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3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5C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88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C1FB1"/>
    <w:multiLevelType w:val="hybridMultilevel"/>
    <w:tmpl w:val="B5B0CF12"/>
    <w:lvl w:ilvl="0" w:tplc="9BD0F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AD4E0A"/>
    <w:multiLevelType w:val="hybridMultilevel"/>
    <w:tmpl w:val="5E9CF704"/>
    <w:lvl w:ilvl="0" w:tplc="282EC7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B28F5"/>
    <w:multiLevelType w:val="hybridMultilevel"/>
    <w:tmpl w:val="D0AAC3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1"/>
  </w:num>
  <w:num w:numId="18">
    <w:abstractNumId w:val="1"/>
  </w:num>
  <w:num w:numId="19">
    <w:abstractNumId w:val="19"/>
  </w:num>
  <w:num w:numId="20">
    <w:abstractNumId w:val="2"/>
  </w:num>
  <w:num w:numId="21">
    <w:abstractNumId w:val="0"/>
  </w:num>
  <w:num w:numId="22">
    <w:abstractNumId w:val="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3"/>
  </w:num>
  <w:num w:numId="26">
    <w:abstractNumId w:val="8"/>
  </w:num>
  <w:num w:numId="27">
    <w:abstractNumId w:val="6"/>
  </w:num>
  <w:num w:numId="28">
    <w:abstractNumId w:val="13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b5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10EFB"/>
    <w:rsid w:val="00026755"/>
    <w:rsid w:val="000356DC"/>
    <w:rsid w:val="00037C34"/>
    <w:rsid w:val="0005551C"/>
    <w:rsid w:val="0006293D"/>
    <w:rsid w:val="0006476D"/>
    <w:rsid w:val="00070402"/>
    <w:rsid w:val="000704B0"/>
    <w:rsid w:val="000820E9"/>
    <w:rsid w:val="000948B6"/>
    <w:rsid w:val="000C5695"/>
    <w:rsid w:val="000D1548"/>
    <w:rsid w:val="000D2498"/>
    <w:rsid w:val="000D6E3A"/>
    <w:rsid w:val="0010560B"/>
    <w:rsid w:val="001158CC"/>
    <w:rsid w:val="00126755"/>
    <w:rsid w:val="00140EE9"/>
    <w:rsid w:val="00142A26"/>
    <w:rsid w:val="001430DA"/>
    <w:rsid w:val="00151510"/>
    <w:rsid w:val="001537F4"/>
    <w:rsid w:val="00156B87"/>
    <w:rsid w:val="00160AE3"/>
    <w:rsid w:val="001705A0"/>
    <w:rsid w:val="00174F74"/>
    <w:rsid w:val="00195FCB"/>
    <w:rsid w:val="001A3696"/>
    <w:rsid w:val="001A421A"/>
    <w:rsid w:val="001A4BEC"/>
    <w:rsid w:val="001A5373"/>
    <w:rsid w:val="001A6339"/>
    <w:rsid w:val="001A65FB"/>
    <w:rsid w:val="001D720D"/>
    <w:rsid w:val="001F0FAE"/>
    <w:rsid w:val="0021158F"/>
    <w:rsid w:val="002145E7"/>
    <w:rsid w:val="0021637B"/>
    <w:rsid w:val="00225D6C"/>
    <w:rsid w:val="002427FE"/>
    <w:rsid w:val="00247994"/>
    <w:rsid w:val="002534E0"/>
    <w:rsid w:val="0027569E"/>
    <w:rsid w:val="0027605A"/>
    <w:rsid w:val="002819A0"/>
    <w:rsid w:val="00284B3F"/>
    <w:rsid w:val="00293803"/>
    <w:rsid w:val="00297CB8"/>
    <w:rsid w:val="002A1BB1"/>
    <w:rsid w:val="002A60D0"/>
    <w:rsid w:val="002A71C6"/>
    <w:rsid w:val="002B081E"/>
    <w:rsid w:val="002B6053"/>
    <w:rsid w:val="002B637F"/>
    <w:rsid w:val="002C7631"/>
    <w:rsid w:val="002E5354"/>
    <w:rsid w:val="002F78D1"/>
    <w:rsid w:val="00323D81"/>
    <w:rsid w:val="0033172F"/>
    <w:rsid w:val="0033233D"/>
    <w:rsid w:val="00340368"/>
    <w:rsid w:val="003615B7"/>
    <w:rsid w:val="00371CCC"/>
    <w:rsid w:val="00384845"/>
    <w:rsid w:val="003A458B"/>
    <w:rsid w:val="003C3F08"/>
    <w:rsid w:val="003C603C"/>
    <w:rsid w:val="003D7A40"/>
    <w:rsid w:val="00403ADA"/>
    <w:rsid w:val="004041DB"/>
    <w:rsid w:val="00412272"/>
    <w:rsid w:val="00420740"/>
    <w:rsid w:val="0044238D"/>
    <w:rsid w:val="0044370F"/>
    <w:rsid w:val="00467DB7"/>
    <w:rsid w:val="00477521"/>
    <w:rsid w:val="004A4BE0"/>
    <w:rsid w:val="004B2A20"/>
    <w:rsid w:val="004B7B5C"/>
    <w:rsid w:val="004C7372"/>
    <w:rsid w:val="004D2D26"/>
    <w:rsid w:val="004E4724"/>
    <w:rsid w:val="004E658B"/>
    <w:rsid w:val="004E658D"/>
    <w:rsid w:val="004F24EA"/>
    <w:rsid w:val="004F7309"/>
    <w:rsid w:val="00520D57"/>
    <w:rsid w:val="00525BE4"/>
    <w:rsid w:val="005262E0"/>
    <w:rsid w:val="00532959"/>
    <w:rsid w:val="0054718A"/>
    <w:rsid w:val="00550390"/>
    <w:rsid w:val="0055154D"/>
    <w:rsid w:val="0055384D"/>
    <w:rsid w:val="005558D7"/>
    <w:rsid w:val="00561DB4"/>
    <w:rsid w:val="00574CF7"/>
    <w:rsid w:val="00575144"/>
    <w:rsid w:val="00576998"/>
    <w:rsid w:val="00591753"/>
    <w:rsid w:val="00593317"/>
    <w:rsid w:val="005947BA"/>
    <w:rsid w:val="005B6508"/>
    <w:rsid w:val="005C3BF9"/>
    <w:rsid w:val="005C7A55"/>
    <w:rsid w:val="005D304E"/>
    <w:rsid w:val="005E6480"/>
    <w:rsid w:val="005F1BD8"/>
    <w:rsid w:val="005F1DA0"/>
    <w:rsid w:val="0060123F"/>
    <w:rsid w:val="0060276A"/>
    <w:rsid w:val="00611901"/>
    <w:rsid w:val="006255E5"/>
    <w:rsid w:val="00635012"/>
    <w:rsid w:val="00671D09"/>
    <w:rsid w:val="00671EAA"/>
    <w:rsid w:val="00673DB9"/>
    <w:rsid w:val="00674724"/>
    <w:rsid w:val="006B362A"/>
    <w:rsid w:val="006C6129"/>
    <w:rsid w:val="006D4D2D"/>
    <w:rsid w:val="006D76B2"/>
    <w:rsid w:val="006E13A3"/>
    <w:rsid w:val="006E5333"/>
    <w:rsid w:val="006F5225"/>
    <w:rsid w:val="006F5821"/>
    <w:rsid w:val="00706737"/>
    <w:rsid w:val="00707F2E"/>
    <w:rsid w:val="00711C38"/>
    <w:rsid w:val="007151C1"/>
    <w:rsid w:val="0072064C"/>
    <w:rsid w:val="00723D50"/>
    <w:rsid w:val="007273B5"/>
    <w:rsid w:val="00734DF2"/>
    <w:rsid w:val="007357CB"/>
    <w:rsid w:val="00743250"/>
    <w:rsid w:val="00744B56"/>
    <w:rsid w:val="0075202F"/>
    <w:rsid w:val="007527AF"/>
    <w:rsid w:val="00761980"/>
    <w:rsid w:val="00763EF8"/>
    <w:rsid w:val="007706FE"/>
    <w:rsid w:val="00785365"/>
    <w:rsid w:val="007A4B44"/>
    <w:rsid w:val="007A5225"/>
    <w:rsid w:val="007C1B9C"/>
    <w:rsid w:val="007D0861"/>
    <w:rsid w:val="007F1431"/>
    <w:rsid w:val="007F4B25"/>
    <w:rsid w:val="007F515E"/>
    <w:rsid w:val="008012E1"/>
    <w:rsid w:val="00802C1E"/>
    <w:rsid w:val="00821A9A"/>
    <w:rsid w:val="00832AD3"/>
    <w:rsid w:val="00833F29"/>
    <w:rsid w:val="008342DD"/>
    <w:rsid w:val="008525ED"/>
    <w:rsid w:val="00857771"/>
    <w:rsid w:val="008600F5"/>
    <w:rsid w:val="008761DA"/>
    <w:rsid w:val="00893556"/>
    <w:rsid w:val="008939BB"/>
    <w:rsid w:val="008D5B7E"/>
    <w:rsid w:val="009113DD"/>
    <w:rsid w:val="00912E45"/>
    <w:rsid w:val="00926D75"/>
    <w:rsid w:val="009350C1"/>
    <w:rsid w:val="00936A63"/>
    <w:rsid w:val="00937BF9"/>
    <w:rsid w:val="00962F41"/>
    <w:rsid w:val="0099192A"/>
    <w:rsid w:val="00994B21"/>
    <w:rsid w:val="00994F26"/>
    <w:rsid w:val="00994FC5"/>
    <w:rsid w:val="00997A7C"/>
    <w:rsid w:val="009A101F"/>
    <w:rsid w:val="009B21C0"/>
    <w:rsid w:val="009C4A4F"/>
    <w:rsid w:val="009D4935"/>
    <w:rsid w:val="009E3C98"/>
    <w:rsid w:val="009E6CBE"/>
    <w:rsid w:val="009F0DB3"/>
    <w:rsid w:val="00A14C09"/>
    <w:rsid w:val="00A174E4"/>
    <w:rsid w:val="00A27F31"/>
    <w:rsid w:val="00A35F16"/>
    <w:rsid w:val="00A40DE2"/>
    <w:rsid w:val="00A50F14"/>
    <w:rsid w:val="00A60B5E"/>
    <w:rsid w:val="00A74A35"/>
    <w:rsid w:val="00A83DED"/>
    <w:rsid w:val="00AB092E"/>
    <w:rsid w:val="00AB1BAB"/>
    <w:rsid w:val="00AB5254"/>
    <w:rsid w:val="00AC3384"/>
    <w:rsid w:val="00AC34D6"/>
    <w:rsid w:val="00B009EE"/>
    <w:rsid w:val="00B01457"/>
    <w:rsid w:val="00B05BA4"/>
    <w:rsid w:val="00B10385"/>
    <w:rsid w:val="00B118C3"/>
    <w:rsid w:val="00B241F1"/>
    <w:rsid w:val="00B37FA8"/>
    <w:rsid w:val="00B7403A"/>
    <w:rsid w:val="00B82609"/>
    <w:rsid w:val="00B95CB4"/>
    <w:rsid w:val="00BA7651"/>
    <w:rsid w:val="00BB0F9A"/>
    <w:rsid w:val="00BB7989"/>
    <w:rsid w:val="00BD1EF8"/>
    <w:rsid w:val="00BD698B"/>
    <w:rsid w:val="00BD69C3"/>
    <w:rsid w:val="00BE3CA5"/>
    <w:rsid w:val="00BF455E"/>
    <w:rsid w:val="00C04798"/>
    <w:rsid w:val="00C05294"/>
    <w:rsid w:val="00C12798"/>
    <w:rsid w:val="00C207ED"/>
    <w:rsid w:val="00C22FEB"/>
    <w:rsid w:val="00C31EFB"/>
    <w:rsid w:val="00C34257"/>
    <w:rsid w:val="00C45227"/>
    <w:rsid w:val="00C5706C"/>
    <w:rsid w:val="00C63F11"/>
    <w:rsid w:val="00C663E2"/>
    <w:rsid w:val="00C750D2"/>
    <w:rsid w:val="00C80388"/>
    <w:rsid w:val="00C80C61"/>
    <w:rsid w:val="00C82FA7"/>
    <w:rsid w:val="00CA4DA2"/>
    <w:rsid w:val="00CA6C93"/>
    <w:rsid w:val="00CC6CA3"/>
    <w:rsid w:val="00CC7609"/>
    <w:rsid w:val="00CD39EF"/>
    <w:rsid w:val="00CE18E6"/>
    <w:rsid w:val="00CE5781"/>
    <w:rsid w:val="00CF2527"/>
    <w:rsid w:val="00D05BDB"/>
    <w:rsid w:val="00D06CDF"/>
    <w:rsid w:val="00D31672"/>
    <w:rsid w:val="00D33DBE"/>
    <w:rsid w:val="00D44A7E"/>
    <w:rsid w:val="00D450AC"/>
    <w:rsid w:val="00D532CF"/>
    <w:rsid w:val="00D61C60"/>
    <w:rsid w:val="00D737E7"/>
    <w:rsid w:val="00D922B2"/>
    <w:rsid w:val="00D97C75"/>
    <w:rsid w:val="00DA5384"/>
    <w:rsid w:val="00DC0322"/>
    <w:rsid w:val="00DC0EA1"/>
    <w:rsid w:val="00DD38F8"/>
    <w:rsid w:val="00DD7395"/>
    <w:rsid w:val="00DE7F9D"/>
    <w:rsid w:val="00DF4F5D"/>
    <w:rsid w:val="00DF5BA7"/>
    <w:rsid w:val="00DF5EE3"/>
    <w:rsid w:val="00E04F50"/>
    <w:rsid w:val="00E128E7"/>
    <w:rsid w:val="00E20916"/>
    <w:rsid w:val="00E252E7"/>
    <w:rsid w:val="00E26598"/>
    <w:rsid w:val="00E27053"/>
    <w:rsid w:val="00E32776"/>
    <w:rsid w:val="00E33455"/>
    <w:rsid w:val="00E33919"/>
    <w:rsid w:val="00E3625A"/>
    <w:rsid w:val="00E372D1"/>
    <w:rsid w:val="00E5759D"/>
    <w:rsid w:val="00E63DC6"/>
    <w:rsid w:val="00E65A39"/>
    <w:rsid w:val="00E73FE9"/>
    <w:rsid w:val="00E75DE5"/>
    <w:rsid w:val="00E82F62"/>
    <w:rsid w:val="00E87CAE"/>
    <w:rsid w:val="00E96FAE"/>
    <w:rsid w:val="00EA156C"/>
    <w:rsid w:val="00EA7BFE"/>
    <w:rsid w:val="00EB0500"/>
    <w:rsid w:val="00EB7A13"/>
    <w:rsid w:val="00EC2E7E"/>
    <w:rsid w:val="00EC3A35"/>
    <w:rsid w:val="00EC66AB"/>
    <w:rsid w:val="00ED7405"/>
    <w:rsid w:val="00F03C1D"/>
    <w:rsid w:val="00F151C0"/>
    <w:rsid w:val="00F2676D"/>
    <w:rsid w:val="00F3746F"/>
    <w:rsid w:val="00F4430C"/>
    <w:rsid w:val="00F5711E"/>
    <w:rsid w:val="00F61A16"/>
    <w:rsid w:val="00F67024"/>
    <w:rsid w:val="00F80DB6"/>
    <w:rsid w:val="00F83704"/>
    <w:rsid w:val="00FA2EDB"/>
    <w:rsid w:val="00FA5AF9"/>
    <w:rsid w:val="00FB0269"/>
    <w:rsid w:val="00FB126D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b5b5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3233D"/>
    <w:pPr>
      <w:spacing w:after="210" w:line="210" w:lineRule="atLeast"/>
      <w:jc w:val="both"/>
    </w:pPr>
    <w:rPr>
      <w:sz w:val="17"/>
      <w:szCs w:val="17"/>
    </w:rPr>
  </w:style>
  <w:style w:type="table" w:styleId="Tabela-Siatka">
    <w:name w:val="Table Grid"/>
    <w:basedOn w:val="Standardowy"/>
    <w:rsid w:val="005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12E4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1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13A3"/>
    <w:rPr>
      <w:i/>
      <w:iCs/>
      <w:color w:val="00000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6E13A3"/>
    <w:rPr>
      <w:i/>
      <w:iCs/>
      <w:color w:val="000000"/>
      <w:sz w:val="24"/>
      <w:szCs w:val="24"/>
      <w:lang w:val="x-none" w:eastAsia="x-none"/>
    </w:rPr>
  </w:style>
  <w:style w:type="character" w:styleId="Wyrnieniedelikatne">
    <w:name w:val="Subtle Emphasis"/>
    <w:uiPriority w:val="19"/>
    <w:qFormat/>
    <w:rsid w:val="006E13A3"/>
    <w:rPr>
      <w:i/>
      <w:iCs/>
      <w:color w:val="808080"/>
    </w:rPr>
  </w:style>
  <w:style w:type="character" w:customStyle="1" w:styleId="AkapitzlistZnak">
    <w:name w:val="Akapit z listą Znak"/>
    <w:link w:val="Akapitzlist"/>
    <w:uiPriority w:val="34"/>
    <w:rsid w:val="004A4BE0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A4F"/>
  </w:style>
  <w:style w:type="character" w:styleId="Odwoanieprzypisukocowego">
    <w:name w:val="endnote reference"/>
    <w:basedOn w:val="Domylnaczcionkaakapitu"/>
    <w:rsid w:val="009C4A4F"/>
    <w:rPr>
      <w:vertAlign w:val="superscript"/>
    </w:rPr>
  </w:style>
  <w:style w:type="paragraph" w:customStyle="1" w:styleId="imiinazwisko">
    <w:name w:val="imię i nazwisko"/>
    <w:basedOn w:val="Normalny"/>
    <w:next w:val="Normalny"/>
    <w:rsid w:val="00BE3CA5"/>
    <w:pPr>
      <w:spacing w:line="280" w:lineRule="exact"/>
      <w:jc w:val="right"/>
    </w:pPr>
    <w:rPr>
      <w:rFonts w:ascii="Arial" w:hAnsi="Arial"/>
      <w:b/>
      <w:sz w:val="20"/>
    </w:rPr>
  </w:style>
  <w:style w:type="paragraph" w:styleId="Tekstpodstawowywcity3">
    <w:name w:val="Body Text Indent 3"/>
    <w:basedOn w:val="Normalny"/>
    <w:link w:val="Tekstpodstawowywcity3Znak"/>
    <w:rsid w:val="00BE3C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3CA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050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42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238D"/>
    <w:rPr>
      <w:sz w:val="24"/>
      <w:szCs w:val="24"/>
    </w:rPr>
  </w:style>
  <w:style w:type="paragraph" w:customStyle="1" w:styleId="bcparagraph2bcparagraph16">
    <w:name w:val="_bc_paragraph_2 _bc_paragraph_16"/>
    <w:basedOn w:val="Normalny"/>
    <w:rsid w:val="004423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E372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3DB9"/>
    <w:rPr>
      <w:b/>
      <w:bCs/>
    </w:rPr>
  </w:style>
  <w:style w:type="paragraph" w:styleId="Bezodstpw">
    <w:name w:val="No Spacing"/>
    <w:basedOn w:val="Normalny"/>
    <w:uiPriority w:val="1"/>
    <w:qFormat/>
    <w:rsid w:val="00832AD3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68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78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D3D3"/>
                            <w:bottom w:val="none" w:sz="0" w:space="0" w:color="auto"/>
                            <w:right w:val="single" w:sz="6" w:space="0" w:color="D3D3D3"/>
                          </w:divBdr>
                          <w:divsChild>
                            <w:div w:id="15077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BA75-0C28-4565-B6E9-CDA16719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Warszawa</vt:lpstr>
    </vt:vector>
  </TitlesOfParts>
  <LinksUpToDate>false</LinksUpToDate>
  <CharactersWithSpaces>5307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2015-07-17T11:27:00Z</dcterms:created>
  <dcterms:modified xsi:type="dcterms:W3CDTF">2015-07-17T11:27:00Z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3432129.2</vt:lpwstr>
  </property>
</Properties>
</file>